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A6" w:rsidRDefault="00DD01A6" w:rsidP="00DD01A6">
      <w:pPr>
        <w:jc w:val="center"/>
        <w:rPr>
          <w:rFonts w:ascii="Arial" w:hAnsi="Arial" w:cs="Arial"/>
          <w:b/>
          <w:bCs/>
          <w:color w:val="000000"/>
          <w:sz w:val="20"/>
          <w:szCs w:val="20"/>
        </w:rPr>
      </w:pPr>
      <w:r w:rsidRPr="00DD01A6">
        <w:rPr>
          <w:rFonts w:ascii="Arial" w:hAnsi="Arial" w:cs="Arial"/>
          <w:b/>
          <w:bCs/>
          <w:color w:val="000000"/>
          <w:sz w:val="20"/>
          <w:szCs w:val="20"/>
        </w:rPr>
        <w:t>Treasury, Investment and Risk Management</w:t>
      </w:r>
    </w:p>
    <w:p w:rsidR="00DD01A6" w:rsidRDefault="00DD01A6" w:rsidP="00DD01A6">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DD01A6" w:rsidTr="00DD01A6">
        <w:tc>
          <w:tcPr>
            <w:tcW w:w="704" w:type="dxa"/>
          </w:tcPr>
          <w:p w:rsidR="00DD01A6" w:rsidRPr="00DD01A6" w:rsidRDefault="00DD01A6" w:rsidP="00DD01A6">
            <w:pPr>
              <w:jc w:val="center"/>
              <w:rPr>
                <w:rFonts w:ascii="Arial" w:hAnsi="Arial" w:cs="Arial"/>
                <w:b/>
                <w:bCs/>
                <w:color w:val="000000"/>
                <w:sz w:val="18"/>
                <w:szCs w:val="18"/>
              </w:rPr>
            </w:pPr>
            <w:proofErr w:type="spellStart"/>
            <w:r w:rsidRPr="00DD01A6">
              <w:rPr>
                <w:rFonts w:ascii="Arial" w:hAnsi="Arial" w:cs="Arial"/>
                <w:b/>
                <w:bCs/>
                <w:color w:val="000000"/>
                <w:sz w:val="18"/>
                <w:szCs w:val="18"/>
              </w:rPr>
              <w:t>Sr.No</w:t>
            </w:r>
            <w:proofErr w:type="spellEnd"/>
            <w:r w:rsidRPr="00DD01A6">
              <w:rPr>
                <w:rFonts w:ascii="Arial" w:hAnsi="Arial" w:cs="Arial"/>
                <w:b/>
                <w:bCs/>
                <w:color w:val="000000"/>
                <w:sz w:val="18"/>
                <w:szCs w:val="18"/>
              </w:rPr>
              <w:t>.</w:t>
            </w:r>
          </w:p>
        </w:tc>
        <w:tc>
          <w:tcPr>
            <w:tcW w:w="8312" w:type="dxa"/>
          </w:tcPr>
          <w:p w:rsidR="00DD01A6" w:rsidRPr="00DD01A6" w:rsidRDefault="00DD01A6" w:rsidP="00DD01A6">
            <w:pPr>
              <w:jc w:val="center"/>
              <w:rPr>
                <w:rFonts w:ascii="Arial" w:hAnsi="Arial" w:cs="Arial"/>
                <w:b/>
                <w:bCs/>
                <w:color w:val="000000"/>
                <w:sz w:val="18"/>
                <w:szCs w:val="18"/>
              </w:rPr>
            </w:pPr>
            <w:r w:rsidRPr="00DD01A6">
              <w:rPr>
                <w:rFonts w:ascii="Arial" w:hAnsi="Arial" w:cs="Arial"/>
                <w:b/>
                <w:bCs/>
                <w:color w:val="000000"/>
                <w:sz w:val="18"/>
                <w:szCs w:val="18"/>
              </w:rPr>
              <w:t>RBI Notifications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DD01A6" w:rsidRDefault="00DD01A6" w:rsidP="00DD01A6">
            <w:pPr>
              <w:spacing w:line="240" w:lineRule="auto"/>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Investment by Foreign Portfolio Investors (FPIs) in Debt – Review</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Master Direction – Prudential Norms on Capital Adequacy for Local Area Banks (Directions), 2021</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Value Free Transfer (VFT) of Government Securities – Guidelines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Revised Subsidiary General Ledger (SGL) Account Guidelines and Constituents' Subsidiary General Ledger (CSGL) Account Guidelines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Master Circular on Investments by Primary (Urban) Co-operative Banks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Export Credit in Foreign Currency – Benchmark Rate</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r w:rsidR="00DD01A6" w:rsidTr="00045C72">
        <w:tc>
          <w:tcPr>
            <w:tcW w:w="704" w:type="dxa"/>
          </w:tcPr>
          <w:p w:rsidR="00DD01A6" w:rsidRPr="00DD01A6" w:rsidRDefault="00DD01A6" w:rsidP="00DD01A6">
            <w:pPr>
              <w:jc w:val="center"/>
              <w:rPr>
                <w:rFonts w:cstheme="minorHAnsi"/>
                <w:bCs/>
                <w:color w:val="000000"/>
                <w:sz w:val="20"/>
                <w:szCs w:val="20"/>
              </w:rPr>
            </w:pPr>
            <w:r w:rsidRPr="00DD01A6">
              <w:rPr>
                <w:rFonts w:cstheme="minorHAnsi"/>
                <w:bCs/>
                <w:color w:val="000000"/>
                <w:sz w:val="20"/>
                <w:szCs w:val="20"/>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rsidR="00DD01A6" w:rsidRDefault="00DD01A6" w:rsidP="00DD01A6">
            <w:pPr>
              <w:rPr>
                <w:rFonts w:ascii="Calibri" w:hAnsi="Calibri" w:cs="Calibri"/>
                <w:sz w:val="20"/>
                <w:szCs w:val="20"/>
              </w:rPr>
            </w:pPr>
            <w:r>
              <w:rPr>
                <w:rFonts w:ascii="Calibri" w:hAnsi="Calibri" w:cs="Calibri"/>
                <w:sz w:val="20"/>
                <w:szCs w:val="20"/>
              </w:rPr>
              <w:t>Roadmap for LIBOR Transition</w:t>
            </w:r>
          </w:p>
        </w:tc>
      </w:tr>
    </w:tbl>
    <w:p w:rsidR="00DD01A6" w:rsidRDefault="00DD01A6" w:rsidP="00DD01A6">
      <w:pPr>
        <w:rPr>
          <w:rFonts w:ascii="Arial" w:hAnsi="Arial" w:cs="Arial"/>
          <w:b/>
          <w:bCs/>
          <w:color w:val="000000"/>
          <w:sz w:val="20"/>
          <w:szCs w:val="20"/>
        </w:rPr>
      </w:pPr>
      <w:bookmarkStart w:id="0" w:name="_GoBack"/>
      <w:bookmarkEnd w:id="0"/>
    </w:p>
    <w:p w:rsidR="00DD01A6" w:rsidRDefault="00DD01A6" w:rsidP="002C2F64">
      <w:pPr>
        <w:rPr>
          <w:rFonts w:ascii="Arial" w:hAnsi="Arial" w:cs="Arial"/>
          <w:b/>
          <w:bCs/>
          <w:color w:val="000000"/>
          <w:sz w:val="20"/>
          <w:szCs w:val="20"/>
        </w:rPr>
      </w:pPr>
    </w:p>
    <w:p w:rsidR="002C2F64" w:rsidRDefault="002C2F64" w:rsidP="002C2F64">
      <w:r>
        <w:rPr>
          <w:rFonts w:ascii="Arial" w:hAnsi="Arial" w:cs="Arial"/>
          <w:b/>
          <w:bCs/>
          <w:color w:val="000000"/>
          <w:sz w:val="20"/>
          <w:szCs w:val="20"/>
        </w:rPr>
        <w:t>Section 24 of the Banking Regulation Act, 1949 – Maintenance of Statutory Liquidity Ratio (SLR) – Marginal Standing Facility (MSF) - return to the normal dispensation</w:t>
      </w:r>
    </w:p>
    <w:p w:rsidR="002C2F64" w:rsidRDefault="002C2F64" w:rsidP="002C2F64">
      <w:r>
        <w:t>RBI/2021-22/138</w:t>
      </w:r>
      <w:r>
        <w:br/>
        <w:t>DOR.RET.REC.73/12.01.001/2021-22</w:t>
      </w:r>
    </w:p>
    <w:p w:rsidR="002C2F64" w:rsidRDefault="002C2F64" w:rsidP="002C2F64">
      <w:r>
        <w:t>December 10, 2021</w:t>
      </w:r>
    </w:p>
    <w:p w:rsidR="002C2F64" w:rsidRDefault="002C2F64" w:rsidP="002C2F64">
      <w:r>
        <w:t>All Scheduled Banks</w:t>
      </w:r>
    </w:p>
    <w:p w:rsidR="002C2F64" w:rsidRDefault="002C2F64" w:rsidP="002C2F64">
      <w:r>
        <w:t>Madam/Sir,</w:t>
      </w:r>
    </w:p>
    <w:p w:rsidR="002C2F64" w:rsidRDefault="002C2F64" w:rsidP="002C2F64">
      <w:pPr>
        <w:rPr>
          <w:b/>
          <w:bCs/>
        </w:rPr>
      </w:pPr>
      <w:r>
        <w:rPr>
          <w:b/>
          <w:bCs/>
        </w:rPr>
        <w:t>Section 24 of the Banking Regulation Act, 1949 – Maintenance of Statutory Liquidity Ratio (SLR) – Marginal Standing Facility (MSF) - return to the normal dispensation</w:t>
      </w:r>
    </w:p>
    <w:p w:rsidR="002C2F64" w:rsidRDefault="002C2F64" w:rsidP="002C2F64">
      <w:r>
        <w:t>Please refer to </w:t>
      </w:r>
      <w:hyperlink r:id="rId5" w:tgtFrame="_blank" w:history="1">
        <w:r>
          <w:rPr>
            <w:rStyle w:val="Hyperlink"/>
          </w:rPr>
          <w:t>circular DOR.RET.REC.36/12.01.001/2021-22 dated August 09, 2021</w:t>
        </w:r>
      </w:hyperlink>
      <w:r>
        <w:t> and paragraph 15(</w:t>
      </w:r>
      <w:proofErr w:type="spellStart"/>
      <w:r>
        <w:t>i</w:t>
      </w:r>
      <w:proofErr w:type="spellEnd"/>
      <w:r>
        <w:t>) of the </w:t>
      </w:r>
      <w:hyperlink r:id="rId6"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7" w:tgtFrame="_blank" w:history="1">
        <w:r>
          <w:rPr>
            <w:rStyle w:val="Hyperlink"/>
          </w:rPr>
          <w:t>circular DOR.RET.REC.36/12.01.001/2021-22 dated August 09, 2021</w:t>
        </w:r>
      </w:hyperlink>
      <w:r>
        <w:t>.</w:t>
      </w:r>
    </w:p>
    <w:p w:rsidR="002C2F64" w:rsidRDefault="002C2F64" w:rsidP="002C2F64">
      <w:r>
        <w:lastRenderedPageBreak/>
        <w:t>2. As announced in the </w:t>
      </w:r>
      <w:hyperlink r:id="rId8"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2C2F64" w:rsidRDefault="002C2F64" w:rsidP="002C2F64">
      <w:r>
        <w:t>Yours faithfully,</w:t>
      </w:r>
    </w:p>
    <w:p w:rsidR="002C2F64" w:rsidRDefault="002C2F64" w:rsidP="002C2F64">
      <w:r>
        <w:t>(Thomas Mathew)</w:t>
      </w:r>
      <w:r>
        <w:br/>
        <w:t>Chief General Manager</w:t>
      </w:r>
    </w:p>
    <w:p w:rsidR="002C2F64" w:rsidRDefault="002C2F64" w:rsidP="002C2F64">
      <w:r>
        <w:t xml:space="preserve">Reference link: </w:t>
      </w:r>
      <w:hyperlink r:id="rId9" w:history="1">
        <w:r>
          <w:rPr>
            <w:rStyle w:val="Hyperlink"/>
          </w:rPr>
          <w:t>https://www.rbi.org.in/Scripts/NotificationUser.aspx?Id=12207&amp;Mode=0</w:t>
        </w:r>
      </w:hyperlink>
    </w:p>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2C2F64" w:rsidRDefault="002C2F64" w:rsidP="002C2F64">
      <w:r>
        <w:t>RBI/2021-22/135</w:t>
      </w:r>
      <w:r>
        <w:br/>
        <w:t>A.P. (DIR Series) Circular No. 19</w:t>
      </w:r>
    </w:p>
    <w:p w:rsidR="002C2F64" w:rsidRDefault="002C2F64" w:rsidP="002C2F64">
      <w:r>
        <w:t>December 08, 2021</w:t>
      </w:r>
    </w:p>
    <w:p w:rsidR="002C2F64" w:rsidRDefault="002C2F64" w:rsidP="002C2F64">
      <w:r>
        <w:t>To</w:t>
      </w:r>
    </w:p>
    <w:p w:rsidR="002C2F64" w:rsidRDefault="002C2F64" w:rsidP="002C2F64">
      <w:r>
        <w:t>All Category-I Authorised Dealer Banks</w:t>
      </w:r>
    </w:p>
    <w:p w:rsidR="002C2F64" w:rsidRDefault="002C2F64" w:rsidP="002C2F64">
      <w:r>
        <w:t>Madam / Sir,</w:t>
      </w:r>
    </w:p>
    <w:p w:rsidR="002C2F64" w:rsidRDefault="002C2F64" w:rsidP="002C2F64">
      <w:pPr>
        <w:rPr>
          <w:b/>
          <w:bCs/>
        </w:rPr>
      </w:pPr>
      <w:r>
        <w:rPr>
          <w:b/>
          <w:bCs/>
        </w:rPr>
        <w:t>External Commercial Borrowings (ECB) and Trade Credits (TC) Policy – Changes due to LIBOR transition</w:t>
      </w:r>
    </w:p>
    <w:p w:rsidR="002C2F64" w:rsidRDefault="002C2F64" w:rsidP="002C2F64">
      <w:r>
        <w:t>Please refer to paragraph 3 of the </w:t>
      </w:r>
      <w:hyperlink r:id="rId10"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11"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2C2F64" w:rsidRDefault="002C2F64" w:rsidP="002C2F64">
      <w:r>
        <w:t>2. In view of the imminent discontinuance of LIBOR as a benchmark rate, it has been decided, in consultation with stakeholders, to make the following changes to the all-in-cost benchmark and ceiling for FCY ECBs/ TCs:</w:t>
      </w:r>
    </w:p>
    <w:p w:rsidR="002C2F64" w:rsidRDefault="002C2F64" w:rsidP="002C2F64">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2C2F64" w:rsidRDefault="002C2F64" w:rsidP="002C2F64">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2C2F64" w:rsidRDefault="002C2F64" w:rsidP="002C2F64">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2C2F64" w:rsidRDefault="002C2F64" w:rsidP="002C2F64">
      <w:r>
        <w:t>3. There is no change in the all-in-cost benchmark and ceiling for INR ECBs/ TCs.</w:t>
      </w:r>
    </w:p>
    <w:p w:rsidR="002C2F64" w:rsidRDefault="002C2F64" w:rsidP="002C2F64">
      <w:r>
        <w:t>4. All other provisions of the ECB/ TC policy remain unchanged. AD Category-I banks should bring the contents of this circular to the notice of their constituents/ customers.</w:t>
      </w:r>
    </w:p>
    <w:p w:rsidR="002C2F64" w:rsidRDefault="002C2F64" w:rsidP="002C2F64">
      <w:r>
        <w:t>5. The </w:t>
      </w:r>
      <w:hyperlink r:id="rId12" w:tgtFrame="_blank" w:history="1">
        <w:r>
          <w:rPr>
            <w:rStyle w:val="Hyperlink"/>
          </w:rPr>
          <w:t>Master Direction No. 5 dated March 26, 2019</w:t>
        </w:r>
      </w:hyperlink>
      <w:r>
        <w:t>, is being updated to reflect the changes.</w:t>
      </w:r>
    </w:p>
    <w:p w:rsidR="002C2F64" w:rsidRDefault="002C2F64" w:rsidP="002C2F64">
      <w:r>
        <w:t>6. The directions contained in this circular have been issued under section 10(4) and 11(2) of the Foreign Exchange Management Act, 1999 (42 of 1999) and are without prejudice to permissions/ approvals, if any, required under any other law.</w:t>
      </w:r>
    </w:p>
    <w:p w:rsidR="002C2F64" w:rsidRDefault="002C2F64" w:rsidP="002C2F64">
      <w:r>
        <w:lastRenderedPageBreak/>
        <w:t>Yours faithfully</w:t>
      </w:r>
    </w:p>
    <w:p w:rsidR="002C2F64" w:rsidRDefault="002C2F64" w:rsidP="002C2F64">
      <w:r>
        <w:t xml:space="preserve">Ajay Kumar </w:t>
      </w:r>
      <w:proofErr w:type="spellStart"/>
      <w:r>
        <w:t>Misra</w:t>
      </w:r>
      <w:proofErr w:type="spellEnd"/>
      <w:r>
        <w:br/>
        <w:t>Chief General Manager-in-Charge</w:t>
      </w:r>
    </w:p>
    <w:p w:rsidR="002C2F64" w:rsidRDefault="002C2F64" w:rsidP="002C2F64">
      <w:r>
        <w:t xml:space="preserve">Reference link: </w:t>
      </w:r>
      <w:hyperlink r:id="rId13" w:history="1">
        <w:r>
          <w:rPr>
            <w:rStyle w:val="Hyperlink"/>
          </w:rPr>
          <w:t>https://www.rbi.org.in/Scripts/NotificationUser.aspx?Id=12204&amp;Mode=0</w:t>
        </w:r>
      </w:hyperlink>
    </w:p>
    <w:p w:rsidR="002C2F64" w:rsidRDefault="002C2F64" w:rsidP="002C2F64"/>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2C2F64" w:rsidRDefault="002C2F64" w:rsidP="002C2F64">
      <w:r>
        <w:t>RBI/2021-22/120</w:t>
      </w:r>
      <w:r>
        <w:br/>
        <w:t>A.P. (DIR Series) Circular No. 16</w:t>
      </w:r>
    </w:p>
    <w:p w:rsidR="002C2F64" w:rsidRDefault="002C2F64" w:rsidP="002C2F64">
      <w:r>
        <w:t>November 08, 2021</w:t>
      </w:r>
    </w:p>
    <w:p w:rsidR="002C2F64" w:rsidRDefault="002C2F64" w:rsidP="002C2F64">
      <w:r>
        <w:t>To</w:t>
      </w:r>
    </w:p>
    <w:p w:rsidR="002C2F64" w:rsidRDefault="002C2F64" w:rsidP="002C2F64">
      <w:r>
        <w:t>All Authorised Persons</w:t>
      </w:r>
    </w:p>
    <w:p w:rsidR="002C2F64" w:rsidRDefault="002C2F64" w:rsidP="002C2F64">
      <w:r>
        <w:t>Madam / Sir</w:t>
      </w:r>
    </w:p>
    <w:p w:rsidR="002C2F64" w:rsidRDefault="002C2F64" w:rsidP="002C2F64">
      <w:pPr>
        <w:rPr>
          <w:b/>
          <w:bCs/>
        </w:rPr>
      </w:pPr>
      <w:r>
        <w:rPr>
          <w:b/>
          <w:bCs/>
        </w:rPr>
        <w:t>Investment by Foreign Portfolio Investors (FPIs) in Debt – Review</w:t>
      </w:r>
    </w:p>
    <w:p w:rsidR="002C2F64" w:rsidRDefault="002C2F64" w:rsidP="002C2F64">
      <w:r>
        <w:t>Attention of Authorised Dealer Category-I (AD Category-I) banks is invited to Schedule 1 to the Foreign Exchange Management (Debt Instruments) Regulations, 2019 notified vide </w:t>
      </w:r>
      <w:hyperlink r:id="rId14" w:tgtFrame="_blank" w:history="1">
        <w:r>
          <w:rPr>
            <w:rStyle w:val="Hyperlink"/>
          </w:rPr>
          <w:t>Notification No. FEMA.396/2019-RB dated October 17, 2019</w:t>
        </w:r>
      </w:hyperlink>
      <w:r>
        <w:t>, as amended from time to time and the relevant Directions issued thereunder.</w:t>
      </w:r>
    </w:p>
    <w:p w:rsidR="002C2F64" w:rsidRDefault="002C2F64" w:rsidP="002C2F64">
      <w:r>
        <w:t>2. A reference is also invited to the following Directions issued by the Reserve Bank:</w:t>
      </w:r>
    </w:p>
    <w:p w:rsidR="002C2F64" w:rsidRDefault="002C2F64" w:rsidP="002C2F64">
      <w:r>
        <w:t>a. </w:t>
      </w:r>
      <w:hyperlink r:id="rId15" w:tgtFrame="_blank" w:history="1">
        <w:r>
          <w:rPr>
            <w:rStyle w:val="Hyperlink"/>
          </w:rPr>
          <w:t>A.P. (DIR Series) Circular No. 31 dated June 15, 2018</w:t>
        </w:r>
      </w:hyperlink>
      <w:r>
        <w:t>, as amended from time to time; and</w:t>
      </w:r>
    </w:p>
    <w:p w:rsidR="002C2F64" w:rsidRDefault="002C2F64" w:rsidP="002C2F64">
      <w:r>
        <w:t>b. </w:t>
      </w:r>
      <w:hyperlink r:id="rId16" w:tgtFrame="_blank" w:history="1">
        <w:r>
          <w:rPr>
            <w:rStyle w:val="Hyperlink"/>
          </w:rPr>
          <w:t>A.P. (DIR Series) Circular No. 34 dated May 24, 2019</w:t>
        </w:r>
      </w:hyperlink>
      <w:r>
        <w:t>, as amended from time to time.</w:t>
      </w:r>
    </w:p>
    <w:p w:rsidR="002C2F64" w:rsidRDefault="002C2F64" w:rsidP="002C2F64">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17" w:tgtFrame="_blank" w:history="1">
        <w:r>
          <w:rPr>
            <w:rStyle w:val="Hyperlink"/>
          </w:rPr>
          <w:t>Notification No. FEMA 396/2019-RB dated October 17, 2019</w:t>
        </w:r>
      </w:hyperlink>
      <w:r>
        <w:t>) have been notified on October 21, 2021 and are </w:t>
      </w:r>
      <w:hyperlink r:id="rId18" w:tgtFrame="_blank" w:history="1">
        <w:r>
          <w:rPr>
            <w:rStyle w:val="Hyperlink"/>
          </w:rPr>
          <w:t>annexed</w:t>
        </w:r>
      </w:hyperlink>
      <w:r>
        <w:t> to this circular.</w:t>
      </w:r>
    </w:p>
    <w:p w:rsidR="002C2F64" w:rsidRDefault="002C2F64" w:rsidP="002C2F64">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2C2F64" w:rsidRDefault="002C2F64" w:rsidP="002C2F64">
      <w:r>
        <w:t>5. AD Category-I banks may bring the contents of the circular to the notice of their customers/constituents concerned.</w:t>
      </w:r>
    </w:p>
    <w:p w:rsidR="002C2F64" w:rsidRDefault="002C2F64" w:rsidP="002C2F64">
      <w:r>
        <w:t>6. The Directions contained in this circular have been issued under Sections 10(4) and 11(1) of the Foreign Exchange Management Act, 1999 (42 of 1999) and are without prejudice to permissions/approvals, if any, required under any other law.</w:t>
      </w:r>
    </w:p>
    <w:p w:rsidR="002C2F64" w:rsidRDefault="002C2F64" w:rsidP="002C2F64">
      <w:r>
        <w:t>Yours faithfully</w:t>
      </w:r>
    </w:p>
    <w:p w:rsidR="002C2F64" w:rsidRDefault="002C2F64" w:rsidP="002C2F64">
      <w:r>
        <w:t xml:space="preserve">(Dimple </w:t>
      </w:r>
      <w:proofErr w:type="spellStart"/>
      <w:r>
        <w:t>Bhandia</w:t>
      </w:r>
      <w:proofErr w:type="spellEnd"/>
      <w:r>
        <w:t>)</w:t>
      </w:r>
      <w:r>
        <w:br/>
        <w:t>Chief General Manager</w:t>
      </w:r>
    </w:p>
    <w:p w:rsidR="002C2F64" w:rsidRDefault="002C2F64" w:rsidP="002C2F64">
      <w:r>
        <w:t xml:space="preserve">Reference link: </w:t>
      </w:r>
      <w:hyperlink r:id="rId19" w:history="1">
        <w:r>
          <w:rPr>
            <w:rStyle w:val="Hyperlink"/>
          </w:rPr>
          <w:t>https://www.rbi.org.in/Scripts/NotificationUser.aspx?Id=12188&amp;Mode=0</w:t>
        </w:r>
      </w:hyperlink>
    </w:p>
    <w:p w:rsidR="00CF1D0F" w:rsidRDefault="00CF1D0F"/>
    <w:p w:rsidR="002C2F64" w:rsidRDefault="002C2F64"/>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rsidR="002C2F64" w:rsidRDefault="002C2F64" w:rsidP="002C2F64">
      <w:r>
        <w:t>RBI/DOR/2021-22/87</w:t>
      </w:r>
      <w:r>
        <w:br/>
        <w:t>DOR.CAP.REC.No.61/21.01.002/2021-22</w:t>
      </w:r>
    </w:p>
    <w:p w:rsidR="002C2F64" w:rsidRDefault="002C2F64" w:rsidP="002C2F64">
      <w:r>
        <w:t>October 26, 2021</w:t>
      </w:r>
    </w:p>
    <w:p w:rsidR="002C2F64" w:rsidRDefault="002C2F64" w:rsidP="002C2F64">
      <w:r>
        <w:t>All Local Area Banks</w:t>
      </w:r>
    </w:p>
    <w:p w:rsidR="002C2F64" w:rsidRDefault="002C2F64" w:rsidP="002C2F64">
      <w:r>
        <w:t>Dear Sir / Madam,</w:t>
      </w:r>
    </w:p>
    <w:p w:rsidR="002C2F64" w:rsidRDefault="002C2F64" w:rsidP="002C2F64">
      <w:pPr>
        <w:rPr>
          <w:b/>
          <w:bCs/>
        </w:rPr>
      </w:pPr>
      <w:r>
        <w:rPr>
          <w:b/>
          <w:bCs/>
        </w:rPr>
        <w:t>Master Direction – Prudential Norms on Capital Adequacy for Local Area Banks (Directions), 2021</w:t>
      </w:r>
    </w:p>
    <w:p w:rsidR="002C2F64" w:rsidRDefault="002C2F64" w:rsidP="002C2F64">
      <w:r>
        <w:t>The Reserve Bank of India has, from time to time, issued several guidelines / instructions / directives to Local Area Banks on Prudential Norms on Capital Adequacy.</w:t>
      </w:r>
    </w:p>
    <w:p w:rsidR="002C2F64" w:rsidRDefault="002C2F64" w:rsidP="002C2F64">
      <w:r>
        <w:t>2. To enable Local Area Banks to have current instructions at one place, a </w:t>
      </w:r>
      <w:hyperlink r:id="rId20" w:anchor="MD" w:history="1">
        <w:r>
          <w:rPr>
            <w:rStyle w:val="Hyperlink"/>
          </w:rPr>
          <w:t>Master Direction</w:t>
        </w:r>
      </w:hyperlink>
      <w:r>
        <w:t>, incorporating all the existing guidelines / instructions / directives on the subject, has been prepared for reference of the banks.</w:t>
      </w:r>
    </w:p>
    <w:p w:rsidR="002C2F64" w:rsidRDefault="002C2F64" w:rsidP="002C2F64">
      <w:r>
        <w:t>3. This Direction has been issued by RBI in exercise of its powers conferred under Section 35A of the Banking Regulation Act 1949 and in exercise of all the powers enabling it in this behalf.</w:t>
      </w:r>
    </w:p>
    <w:p w:rsidR="002C2F64" w:rsidRDefault="002C2F64" w:rsidP="002C2F64">
      <w:r>
        <w:t>Yours faithfully,</w:t>
      </w:r>
    </w:p>
    <w:p w:rsidR="002C2F64" w:rsidRDefault="002C2F64" w:rsidP="002C2F64">
      <w:r>
        <w:t>(</w:t>
      </w:r>
      <w:proofErr w:type="spellStart"/>
      <w:r>
        <w:t>Usha</w:t>
      </w:r>
      <w:proofErr w:type="spellEnd"/>
      <w:r>
        <w:t xml:space="preserve"> </w:t>
      </w:r>
      <w:proofErr w:type="spellStart"/>
      <w:r>
        <w:t>Janakiraman</w:t>
      </w:r>
      <w:proofErr w:type="spellEnd"/>
      <w:r>
        <w:t>)</w:t>
      </w:r>
      <w:r>
        <w:br/>
        <w:t>Chief General Manager</w:t>
      </w:r>
    </w:p>
    <w:p w:rsidR="002C2F64" w:rsidRDefault="002C2F64" w:rsidP="002C2F64">
      <w:r>
        <w:t xml:space="preserve">Reference link: </w:t>
      </w:r>
      <w:hyperlink r:id="rId21" w:history="1">
        <w:r>
          <w:rPr>
            <w:rStyle w:val="Hyperlink"/>
          </w:rPr>
          <w:t>https://www.rbi.org.in/Scripts/NotificationUser.aspx?Id=12182&amp;Mode=0</w:t>
        </w:r>
      </w:hyperlink>
    </w:p>
    <w:p w:rsidR="002C2F64" w:rsidRDefault="002C2F64" w:rsidP="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rsidR="002C2F64" w:rsidRDefault="002C2F64" w:rsidP="002C2F64">
      <w:r>
        <w:t>RBI/2021-22/108</w:t>
      </w:r>
      <w:r>
        <w:br/>
        <w:t>IDMD.CDD.No.S930/11.22.003/2021-22</w:t>
      </w:r>
    </w:p>
    <w:p w:rsidR="002C2F64" w:rsidRDefault="002C2F64" w:rsidP="002C2F64">
      <w:r>
        <w:t>October 5, 2021</w:t>
      </w:r>
    </w:p>
    <w:p w:rsidR="002C2F64" w:rsidRDefault="002C2F64" w:rsidP="002C2F64">
      <w:r>
        <w:t>All SGL/CSGL Account holders</w:t>
      </w:r>
    </w:p>
    <w:p w:rsidR="002C2F64" w:rsidRDefault="002C2F64" w:rsidP="002C2F64">
      <w:r>
        <w:t>Madam/Sir,</w:t>
      </w:r>
    </w:p>
    <w:p w:rsidR="002C2F64" w:rsidRDefault="002C2F64" w:rsidP="002C2F64">
      <w:pPr>
        <w:rPr>
          <w:b/>
          <w:bCs/>
        </w:rPr>
      </w:pPr>
      <w:r>
        <w:rPr>
          <w:b/>
          <w:bCs/>
        </w:rPr>
        <w:t>Value Free Transfer (VFT) of Government Securities – Guidelines</w:t>
      </w:r>
    </w:p>
    <w:p w:rsidR="002C2F64" w:rsidRDefault="002C2F64" w:rsidP="002C2F64">
      <w:r>
        <w:t>A reference is invited to </w:t>
      </w:r>
      <w:hyperlink r:id="rId22" w:tgtFrame="_blank" w:history="1">
        <w:r>
          <w:rPr>
            <w:rStyle w:val="Hyperlink"/>
          </w:rPr>
          <w:t>Notification No.78 dated November 16, 2018</w:t>
        </w:r>
      </w:hyperlink>
      <w:r>
        <w:t> on </w:t>
      </w:r>
      <w:r>
        <w:rPr>
          <w:b/>
          <w:bCs/>
        </w:rPr>
        <w:t>Value Free Transfer (VFT) of Government Securities – Guidelines</w:t>
      </w:r>
      <w:r>
        <w:t> under which separate guidelines for VFT were issued to enable more efficient operations in the Government securities market. On a review, it has been decided to issue revised Value Free Transfer Guidelines to further streamline VFT of government securities.</w:t>
      </w:r>
    </w:p>
    <w:p w:rsidR="002C2F64" w:rsidRDefault="002C2F64" w:rsidP="002C2F64">
      <w:r>
        <w:t>2. VFT of the government securities shall mean transfer of securities from one SGL/CSGL to another SGL/CSGL account, without corresponding payment leg in the books of RBI.</w:t>
      </w:r>
    </w:p>
    <w:p w:rsidR="002C2F64" w:rsidRDefault="002C2F64" w:rsidP="002C2F64"/>
    <w:p w:rsidR="002C2F64" w:rsidRDefault="002C2F64" w:rsidP="002C2F64">
      <w:r>
        <w:t>The notification lists the transactions that shall be eligible for VFT of government securities and the system used for such transactions. For more details, the link to the notification is placed below.</w:t>
      </w:r>
    </w:p>
    <w:p w:rsidR="002C2F64" w:rsidRDefault="002C2F64" w:rsidP="002C2F64">
      <w:r>
        <w:t xml:space="preserve">Reference link: </w:t>
      </w:r>
      <w:hyperlink r:id="rId23" w:history="1">
        <w:r>
          <w:rPr>
            <w:rStyle w:val="Hyperlink"/>
          </w:rPr>
          <w:t>https://www.rbi.org.in/Scripts/NotificationUser.aspx?Id=12175&amp;Mode=0</w:t>
        </w:r>
      </w:hyperlink>
    </w:p>
    <w:p w:rsidR="002C2F64" w:rsidRDefault="002C2F64" w:rsidP="002C2F64"/>
    <w:p w:rsidR="002C2F64" w:rsidRDefault="002C2F64" w:rsidP="002C2F64"/>
    <w:p w:rsidR="002C2F64" w:rsidRDefault="002C2F64" w:rsidP="002C2F64">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rsidR="002C2F64" w:rsidRDefault="002C2F64" w:rsidP="002C2F64">
      <w:r>
        <w:t>RBI/2021-22/107</w:t>
      </w:r>
      <w:r>
        <w:br/>
        <w:t>IDMD.CDD.No.S931/11.22.001/2021-2022</w:t>
      </w:r>
    </w:p>
    <w:p w:rsidR="002C2F64" w:rsidRDefault="002C2F64" w:rsidP="002C2F64">
      <w:r>
        <w:t>October 5, 2021</w:t>
      </w:r>
    </w:p>
    <w:p w:rsidR="002C2F64" w:rsidRDefault="002C2F64" w:rsidP="002C2F64">
      <w:r>
        <w:t>All SGL/CSGL Holders</w:t>
      </w:r>
    </w:p>
    <w:p w:rsidR="002C2F64" w:rsidRDefault="002C2F64" w:rsidP="002C2F64">
      <w:r>
        <w:t>Madam/Sir,</w:t>
      </w:r>
    </w:p>
    <w:p w:rsidR="002C2F64" w:rsidRDefault="002C2F64" w:rsidP="002C2F64">
      <w:pPr>
        <w:rPr>
          <w:b/>
          <w:bCs/>
        </w:rPr>
      </w:pPr>
      <w:r>
        <w:rPr>
          <w:b/>
          <w:bCs/>
        </w:rPr>
        <w:t>Revised Subsidiary General Ledger (SGL) Account Guidelines and Constituents' Subsidiary General Ledger (CSGL) Account Guidelines</w:t>
      </w:r>
    </w:p>
    <w:p w:rsidR="002C2F64" w:rsidRDefault="002C2F64" w:rsidP="002C2F64">
      <w:r>
        <w:t>In exercise of powers conferred by Section 4 of Government Securities Act 2006, Reserve Bank of India has issued and gazetted revised </w:t>
      </w:r>
      <w:hyperlink r:id="rId24" w:tgtFrame="_blank" w:history="1">
        <w:r>
          <w:rPr>
            <w:rStyle w:val="Hyperlink"/>
          </w:rPr>
          <w:t>Eligibility Criteria and Operational Guidelines for opening and maintaining of Subsidiary General Ledger (SGL) Accounts and Constituents’ Subsidiary General Ledger (CSGL) Accounts dated September 22, 2021</w:t>
        </w:r>
      </w:hyperlink>
      <w:r>
        <w:t>. These Guidelines have been issued in supersession to earlier </w:t>
      </w:r>
      <w:hyperlink r:id="rId25" w:tgtFrame="_blank" w:history="1">
        <w:r>
          <w:rPr>
            <w:rStyle w:val="Hyperlink"/>
          </w:rPr>
          <w:t>Guidelines dated October 29, 2018</w:t>
        </w:r>
      </w:hyperlink>
      <w:r>
        <w:t>.</w:t>
      </w:r>
    </w:p>
    <w:p w:rsidR="002C2F64" w:rsidRDefault="002C2F64" w:rsidP="002C2F64">
      <w:r>
        <w:t>Yours faithfully,</w:t>
      </w:r>
    </w:p>
    <w:p w:rsidR="002C2F64" w:rsidRDefault="002C2F64" w:rsidP="002C2F64">
      <w:r>
        <w:t>(</w:t>
      </w:r>
      <w:proofErr w:type="spellStart"/>
      <w:r>
        <w:t>Rajendra</w:t>
      </w:r>
      <w:proofErr w:type="spellEnd"/>
      <w:r>
        <w:t xml:space="preserve"> Kumar)</w:t>
      </w:r>
      <w:r>
        <w:br/>
        <w:t>Chief General Manager</w:t>
      </w:r>
    </w:p>
    <w:p w:rsidR="002C2F64" w:rsidRDefault="002C2F64" w:rsidP="002C2F64">
      <w:r>
        <w:t xml:space="preserve">Reference link: </w:t>
      </w:r>
      <w:hyperlink r:id="rId26" w:history="1">
        <w:r>
          <w:rPr>
            <w:rStyle w:val="Hyperlink"/>
          </w:rPr>
          <w:t>https://www.rbi.org.in/Scripts/NotificationUser.aspx?Id=12174&amp;Mode=0</w:t>
        </w:r>
      </w:hyperlink>
    </w:p>
    <w:p w:rsidR="002C2F64" w:rsidRDefault="002C2F64" w:rsidP="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2C2F64" w:rsidRDefault="002C2F64" w:rsidP="002C2F64">
      <w:r>
        <w:t>RBI/2021-2022/101</w:t>
      </w:r>
      <w:r>
        <w:br/>
        <w:t>A.P. (DIR Series) Circular No.13</w:t>
      </w:r>
    </w:p>
    <w:p w:rsidR="002C2F64" w:rsidRDefault="002C2F64" w:rsidP="002C2F64">
      <w:r>
        <w:t>September 28, 2021</w:t>
      </w:r>
    </w:p>
    <w:p w:rsidR="002C2F64" w:rsidRDefault="002C2F64" w:rsidP="002C2F64">
      <w:r>
        <w:t>To</w:t>
      </w:r>
    </w:p>
    <w:p w:rsidR="002C2F64" w:rsidRDefault="002C2F64" w:rsidP="002C2F64">
      <w:r>
        <w:t>All Category-I Authorised Dealer Banks</w:t>
      </w:r>
    </w:p>
    <w:p w:rsidR="002C2F64" w:rsidRDefault="002C2F64" w:rsidP="002C2F64">
      <w:pPr>
        <w:rPr>
          <w:b/>
          <w:bCs/>
        </w:rPr>
      </w:pPr>
      <w:r>
        <w:rPr>
          <w:b/>
          <w:bCs/>
        </w:rPr>
        <w:t>Use of any Alternative reference rate in place of LIBOR for interest payable in respect of export / import transactions</w:t>
      </w:r>
    </w:p>
    <w:p w:rsidR="002C2F64" w:rsidRDefault="002C2F64" w:rsidP="002C2F64">
      <w:r>
        <w:t>Attention of Authorised Dealer Category– I banks (AD banks) is invited to extant Regulation 15 of Foreign Exchange Management (Export of Goods &amp; Services) Regulations, 2015 notified vide </w:t>
      </w:r>
      <w:hyperlink r:id="rId27"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2C2F64" w:rsidRDefault="002C2F64" w:rsidP="002C2F64">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28" w:tgtFrame="_blank" w:history="1">
        <w:r>
          <w:rPr>
            <w:rStyle w:val="Hyperlink"/>
          </w:rPr>
          <w:t>Notification No. FEMA 23(R)/(5)/2021-RB dated September 08, 2021</w:t>
        </w:r>
      </w:hyperlink>
      <w:r>
        <w:t> (</w:t>
      </w:r>
      <w:hyperlink r:id="rId29" w:tgtFrame="_blank" w:history="1">
        <w:r>
          <w:rPr>
            <w:rStyle w:val="Hyperlink"/>
          </w:rPr>
          <w:t>copy enclosed</w:t>
        </w:r>
      </w:hyperlink>
      <w:r>
        <w:t>).</w:t>
      </w:r>
    </w:p>
    <w:p w:rsidR="002C2F64" w:rsidRDefault="002C2F64" w:rsidP="002C2F64">
      <w:r>
        <w:t>3. AD banks may bring the contents of this circular to the notice of their constituents concerned.</w:t>
      </w:r>
    </w:p>
    <w:p w:rsidR="002C2F64" w:rsidRDefault="002C2F64" w:rsidP="002C2F64">
      <w:r>
        <w:t>4. The directions contained in this circular have been issued under Section 10(4) and Section 11(1) of the FEMA, 1999 (42 of 1999) and are without prejudice to permissions / approvals, if any, required under any other law.</w:t>
      </w:r>
    </w:p>
    <w:p w:rsidR="002C2F64" w:rsidRDefault="002C2F64" w:rsidP="002C2F64">
      <w:r>
        <w:t>Yours faithfully,</w:t>
      </w:r>
    </w:p>
    <w:p w:rsidR="002C2F64" w:rsidRDefault="002C2F64" w:rsidP="002C2F64">
      <w:r>
        <w:t>(R. S. Amar)</w:t>
      </w:r>
      <w:r>
        <w:br/>
        <w:t>Chief General Manager</w:t>
      </w:r>
    </w:p>
    <w:p w:rsidR="002C2F64" w:rsidRDefault="002C2F64" w:rsidP="002C2F64">
      <w:r>
        <w:t xml:space="preserve">Reference link: </w:t>
      </w:r>
      <w:hyperlink r:id="rId30" w:history="1">
        <w:r>
          <w:rPr>
            <w:rStyle w:val="Hyperlink"/>
          </w:rPr>
          <w:t>https://www.rbi.org.in/Scripts/NotificationUser.aspx?Id=12168&amp;Mode=0</w:t>
        </w:r>
      </w:hyperlink>
    </w:p>
    <w:p w:rsidR="002C2F64" w:rsidRDefault="002C2F64" w:rsidP="002C2F64"/>
    <w:p w:rsidR="002C2F64" w:rsidRDefault="002C2F64" w:rsidP="002C2F64"/>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Master Circular on Investments by Primary (Urban) Co-operative Banks</w:t>
      </w:r>
    </w:p>
    <w:p w:rsidR="002C2F64" w:rsidRDefault="002C2F64" w:rsidP="002C2F64">
      <w:r>
        <w:t>RBI/2021-22/100</w:t>
      </w:r>
      <w:r>
        <w:br/>
        <w:t>DOR.MRG.REC.50/21.04.141/2021-22</w:t>
      </w:r>
    </w:p>
    <w:p w:rsidR="002C2F64" w:rsidRDefault="002C2F64" w:rsidP="002C2F64">
      <w:r>
        <w:t>September 20, 2021</w:t>
      </w:r>
    </w:p>
    <w:p w:rsidR="002C2F64" w:rsidRDefault="002C2F64" w:rsidP="002C2F64">
      <w:r>
        <w:t>All Primary (Urban) Co-operative Banks</w:t>
      </w:r>
    </w:p>
    <w:p w:rsidR="002C2F64" w:rsidRDefault="002C2F64" w:rsidP="002C2F64">
      <w:r>
        <w:t>Dear Sir / Madam,</w:t>
      </w:r>
    </w:p>
    <w:p w:rsidR="002C2F64" w:rsidRDefault="002C2F64" w:rsidP="002C2F64">
      <w:pPr>
        <w:rPr>
          <w:b/>
          <w:bCs/>
        </w:rPr>
      </w:pPr>
      <w:r>
        <w:rPr>
          <w:b/>
          <w:bCs/>
        </w:rPr>
        <w:t>Master Circular on Investments by Primary (Urban) Co-operative Banks</w:t>
      </w:r>
    </w:p>
    <w:p w:rsidR="002C2F64" w:rsidRDefault="002C2F64" w:rsidP="002C2F64">
      <w:r>
        <w:t>Please refer to our </w:t>
      </w:r>
      <w:hyperlink r:id="rId31" w:tgtFrame="_blank" w:history="1">
        <w:r>
          <w:rPr>
            <w:rStyle w:val="Hyperlink"/>
          </w:rPr>
          <w:t>Master Circular DCBR.BPD(PCB).MC.No.4/16.20.000/2015-16 dated July 1, 2015</w:t>
        </w:r>
      </w:hyperlink>
      <w:r>
        <w:t> on the captioned subject. The enclosed </w:t>
      </w:r>
      <w:hyperlink r:id="rId32" w:anchor="MC" w:history="1">
        <w:r>
          <w:rPr>
            <w:rStyle w:val="Hyperlink"/>
          </w:rPr>
          <w:t>Master Circular</w:t>
        </w:r>
      </w:hyperlink>
      <w:r>
        <w:t> consolidates and updates all the instructions/guidelines on the subject issued as on date.</w:t>
      </w:r>
    </w:p>
    <w:p w:rsidR="002C2F64" w:rsidRDefault="002C2F64" w:rsidP="002C2F64">
      <w:r>
        <w:t>Yours faithfully,</w:t>
      </w:r>
    </w:p>
    <w:p w:rsidR="002C2F64" w:rsidRDefault="002C2F64" w:rsidP="002C2F64">
      <w:r>
        <w:t>(</w:t>
      </w:r>
      <w:proofErr w:type="spellStart"/>
      <w:r>
        <w:t>Usha</w:t>
      </w:r>
      <w:proofErr w:type="spellEnd"/>
      <w:r>
        <w:t xml:space="preserve"> </w:t>
      </w:r>
      <w:proofErr w:type="spellStart"/>
      <w:r>
        <w:t>Janakiraman</w:t>
      </w:r>
      <w:proofErr w:type="spellEnd"/>
      <w:r>
        <w:t>)</w:t>
      </w:r>
      <w:r>
        <w:br/>
        <w:t>Chief General Manager</w:t>
      </w:r>
    </w:p>
    <w:p w:rsidR="002C2F64" w:rsidRDefault="002C2F64" w:rsidP="002C2F64">
      <w:r>
        <w:t xml:space="preserve">Reference link: </w:t>
      </w:r>
      <w:hyperlink r:id="rId33" w:history="1">
        <w:r>
          <w:rPr>
            <w:rStyle w:val="Hyperlink"/>
          </w:rPr>
          <w:t>https://www.rbi.org.in/Scripts/NotificationUser.aspx?Id=12164&amp;Mode=0</w:t>
        </w:r>
      </w:hyperlink>
    </w:p>
    <w:p w:rsidR="002C2F64" w:rsidRDefault="002C2F64" w:rsidP="002C2F64"/>
    <w:p w:rsidR="002C2F64" w:rsidRDefault="002C2F64" w:rsidP="002C2F64">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2C2F64" w:rsidRDefault="002C2F64" w:rsidP="002C2F64">
      <w:r>
        <w:t>RBI/FMRD/2021-22/84</w:t>
      </w:r>
      <w:r>
        <w:br/>
        <w:t>FMRD.FMD.07/02.03.247/2021-22</w:t>
      </w:r>
    </w:p>
    <w:p w:rsidR="002C2F64" w:rsidRDefault="002C2F64" w:rsidP="002C2F64">
      <w:r>
        <w:t>September 16, 2021</w:t>
      </w:r>
    </w:p>
    <w:p w:rsidR="002C2F64" w:rsidRDefault="002C2F64" w:rsidP="002C2F64">
      <w:r>
        <w:t>To,</w:t>
      </w:r>
    </w:p>
    <w:p w:rsidR="002C2F64" w:rsidRDefault="002C2F64" w:rsidP="002C2F64">
      <w:r>
        <w:t>All Eligible Market Participants</w:t>
      </w:r>
    </w:p>
    <w:p w:rsidR="002C2F64" w:rsidRDefault="002C2F64" w:rsidP="002C2F64">
      <w:r>
        <w:t>Madam/Sir,</w:t>
      </w:r>
    </w:p>
    <w:p w:rsidR="002C2F64" w:rsidRDefault="002C2F64" w:rsidP="002C2F64">
      <w:pPr>
        <w:rPr>
          <w:b/>
          <w:bCs/>
        </w:rPr>
      </w:pPr>
      <w:r>
        <w:rPr>
          <w:b/>
          <w:bCs/>
        </w:rPr>
        <w:t>Master Direction – Reserve Bank of India (Market-makers in OTC Derivatives) Directions, 2021</w:t>
      </w:r>
    </w:p>
    <w:p w:rsidR="002C2F64" w:rsidRDefault="002C2F64" w:rsidP="002C2F64">
      <w:r>
        <w:t>Please refer to Paragraph 11 of the </w:t>
      </w:r>
      <w:hyperlink r:id="rId34" w:tgtFrame="_blank" w:history="1">
        <w:r>
          <w:rPr>
            <w:rStyle w:val="Hyperlink"/>
          </w:rPr>
          <w:t>Statement on Developmental and Regulatory Policies</w:t>
        </w:r>
      </w:hyperlink>
      <w:r>
        <w:t> announced as a part of the </w:t>
      </w:r>
      <w:hyperlink r:id="rId35" w:tgtFrame="_blank" w:history="1">
        <w:r>
          <w:rPr>
            <w:rStyle w:val="Hyperlink"/>
          </w:rPr>
          <w:t>Bi-monthly Monetary Policy Statement for 2020-21 dated December 04, 2020</w:t>
        </w:r>
      </w:hyperlink>
      <w:r>
        <w:t>, regarding review of the Comprehensive Guidelines on Derivatives (CGD).</w:t>
      </w:r>
    </w:p>
    <w:p w:rsidR="002C2F64" w:rsidRDefault="002C2F64" w:rsidP="002C2F64">
      <w:r>
        <w:t>2. The draft Reserve Bank of India (Market-makers in OTC Derivatives) Directions, 2020 were released for public comments on </w:t>
      </w:r>
      <w:hyperlink r:id="rId36"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37" w:anchor="A_1" w:history="1">
        <w:r>
          <w:rPr>
            <w:rStyle w:val="Hyperlink"/>
          </w:rPr>
          <w:t>enclosed</w:t>
        </w:r>
      </w:hyperlink>
      <w:r>
        <w:t> herewith.</w:t>
      </w:r>
    </w:p>
    <w:p w:rsidR="002C2F64" w:rsidRDefault="002C2F64" w:rsidP="002C2F64">
      <w:r>
        <w:t>Yours faithfully,</w:t>
      </w:r>
    </w:p>
    <w:p w:rsidR="002C2F64" w:rsidRDefault="002C2F64" w:rsidP="002C2F64">
      <w:r>
        <w:t xml:space="preserve">(Dimple </w:t>
      </w:r>
      <w:proofErr w:type="spellStart"/>
      <w:r>
        <w:t>Bhandia</w:t>
      </w:r>
      <w:proofErr w:type="spellEnd"/>
      <w:r>
        <w:t>)</w:t>
      </w:r>
      <w:r>
        <w:br/>
        <w:t>Chief General Manager</w:t>
      </w:r>
    </w:p>
    <w:p w:rsidR="002C2F64" w:rsidRDefault="002C2F64" w:rsidP="002C2F64">
      <w:r>
        <w:t xml:space="preserve">Reference link: </w:t>
      </w:r>
      <w:hyperlink r:id="rId38" w:history="1">
        <w:r>
          <w:rPr>
            <w:rStyle w:val="Hyperlink"/>
          </w:rPr>
          <w:t>https://www.rbi.org.in/Scripts/NotificationUser.aspx?Id=12163&amp;Mode=0</w:t>
        </w:r>
      </w:hyperlink>
    </w:p>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2C2F64" w:rsidRDefault="002C2F64" w:rsidP="002C2F64">
      <w:r>
        <w:t>RBI/2021-22/97</w:t>
      </w:r>
      <w:r>
        <w:br/>
        <w:t>DOR.CRE.REC.47/21.01.003/2021-22</w:t>
      </w:r>
    </w:p>
    <w:p w:rsidR="002C2F64" w:rsidRDefault="002C2F64" w:rsidP="002C2F64">
      <w:r>
        <w:t>September 09, 2021</w:t>
      </w:r>
    </w:p>
    <w:p w:rsidR="002C2F64" w:rsidRDefault="002C2F64" w:rsidP="002C2F64">
      <w:r>
        <w:t>All Scheduled Commercial Banks</w:t>
      </w:r>
      <w:r>
        <w:br/>
        <w:t>(Excluding Regional Rural Banks)</w:t>
      </w:r>
    </w:p>
    <w:p w:rsidR="002C2F64" w:rsidRDefault="002C2F64" w:rsidP="002C2F64">
      <w:r>
        <w:t>Dear Sir/Madam,</w:t>
      </w:r>
    </w:p>
    <w:p w:rsidR="002C2F64" w:rsidRDefault="002C2F64" w:rsidP="002C2F64">
      <w:pPr>
        <w:rPr>
          <w:b/>
          <w:bCs/>
        </w:rPr>
      </w:pPr>
      <w:r>
        <w:rPr>
          <w:b/>
          <w:bCs/>
        </w:rPr>
        <w:t>Large Exposures Framework – Credit Risk Mitigation (CRM) for offsetting – non-centrally cleared derivative transactions of foreign bank branches in India with their Head Office</w:t>
      </w:r>
    </w:p>
    <w:p w:rsidR="002C2F64" w:rsidRDefault="002C2F64" w:rsidP="002C2F64">
      <w:r>
        <w:t>Please refer to </w:t>
      </w:r>
      <w:hyperlink r:id="rId39" w:tgtFrame="_blank" w:history="1">
        <w:r>
          <w:rPr>
            <w:rStyle w:val="Hyperlink"/>
          </w:rPr>
          <w:t>circular No.DBR.No.BP.BC.43/21.01.003/2018-19 dated June 03, 2019</w:t>
        </w:r>
      </w:hyperlink>
      <w:r>
        <w:t> on Large Exposures Framework (LEF).</w:t>
      </w:r>
    </w:p>
    <w:p w:rsidR="002C2F64" w:rsidRDefault="002C2F64" w:rsidP="002C2F64">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2C2F64" w:rsidRDefault="002C2F64" w:rsidP="002C2F64">
      <w:pPr>
        <w:numPr>
          <w:ilvl w:val="0"/>
          <w:numId w:val="1"/>
        </w:numPr>
      </w:pPr>
      <w:r>
        <w:t>The amount so held shall be over and above the other regulatory and statutory requirements and shall be certified by the statutory auditors.</w:t>
      </w:r>
    </w:p>
    <w:p w:rsidR="002C2F64" w:rsidRDefault="002C2F64" w:rsidP="002C2F64">
      <w:pPr>
        <w:numPr>
          <w:ilvl w:val="0"/>
          <w:numId w:val="1"/>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2C2F64" w:rsidRDefault="002C2F64" w:rsidP="002C2F64">
      <w:pPr>
        <w:numPr>
          <w:ilvl w:val="0"/>
          <w:numId w:val="1"/>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2C2F64" w:rsidRDefault="002C2F64" w:rsidP="002C2F64">
      <w:pPr>
        <w:numPr>
          <w:ilvl w:val="0"/>
          <w:numId w:val="1"/>
        </w:numPr>
      </w:pPr>
      <w:r>
        <w:t>The CRM shall be compliant with the principles/conditions prescribed in paragraph 7 in the </w:t>
      </w:r>
      <w:hyperlink r:id="rId40" w:tgtFrame="_blank" w:history="1">
        <w:r>
          <w:rPr>
            <w:rStyle w:val="Hyperlink"/>
          </w:rPr>
          <w:t>Master Circular – Basel III Capital Regulations dated July 1, 2015</w:t>
        </w:r>
      </w:hyperlink>
      <w:r>
        <w:t> as amended from time to time.</w:t>
      </w:r>
    </w:p>
    <w:p w:rsidR="002C2F64" w:rsidRDefault="002C2F64" w:rsidP="002C2F64">
      <w:r>
        <w:t>More details can be referred to in the below link</w:t>
      </w:r>
    </w:p>
    <w:p w:rsidR="002C2F64" w:rsidRDefault="002C2F64" w:rsidP="002C2F64">
      <w:r>
        <w:t xml:space="preserve">Reference link: </w:t>
      </w:r>
      <w:hyperlink r:id="rId41" w:history="1">
        <w:r>
          <w:rPr>
            <w:rStyle w:val="Hyperlink"/>
          </w:rPr>
          <w:t>https://www.rbi.org.in/Scripts/NotificationUser.aspx?Id=12160&amp;Mode=0</w:t>
        </w:r>
      </w:hyperlink>
    </w:p>
    <w:p w:rsidR="002C2F64" w:rsidRDefault="002C2F64" w:rsidP="002C2F64"/>
    <w:p w:rsidR="002C2F64" w:rsidRDefault="002C2F64" w:rsidP="002C2F64">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2C2F64" w:rsidRDefault="002C2F64" w:rsidP="002C2F64">
      <w:pPr>
        <w:rPr>
          <w:b/>
          <w:bCs/>
        </w:rPr>
      </w:pPr>
      <w:r>
        <w:rPr>
          <w:b/>
          <w:bCs/>
        </w:rPr>
        <w:t>RESERVE BANK OF INDIA</w:t>
      </w:r>
      <w:r>
        <w:rPr>
          <w:b/>
          <w:bCs/>
        </w:rPr>
        <w:br/>
        <w:t>FOREIGN EXCHANGE DEPARTMENT</w:t>
      </w:r>
      <w:r>
        <w:rPr>
          <w:b/>
          <w:bCs/>
        </w:rPr>
        <w:br/>
        <w:t>CENTRAL OFFICE</w:t>
      </w:r>
      <w:r>
        <w:rPr>
          <w:b/>
          <w:bCs/>
        </w:rPr>
        <w:br/>
        <w:t>MUMBAI 400 001</w:t>
      </w:r>
    </w:p>
    <w:p w:rsidR="002C2F64" w:rsidRDefault="002C2F64" w:rsidP="002C2F64">
      <w:pPr>
        <w:rPr>
          <w:b/>
          <w:bCs/>
        </w:rPr>
      </w:pPr>
      <w:r>
        <w:rPr>
          <w:b/>
          <w:bCs/>
        </w:rPr>
        <w:t>Notification No. FEMA 23(R)</w:t>
      </w:r>
      <w:proofErr w:type="gramStart"/>
      <w:r>
        <w:rPr>
          <w:b/>
          <w:bCs/>
        </w:rPr>
        <w:t>/(</w:t>
      </w:r>
      <w:proofErr w:type="gramEnd"/>
      <w:r>
        <w:rPr>
          <w:b/>
          <w:bCs/>
        </w:rPr>
        <w:t>5)/2021-RB</w:t>
      </w:r>
    </w:p>
    <w:p w:rsidR="002C2F64" w:rsidRDefault="002C2F64" w:rsidP="002C2F64">
      <w:pPr>
        <w:rPr>
          <w:b/>
          <w:bCs/>
        </w:rPr>
      </w:pPr>
      <w:r>
        <w:rPr>
          <w:b/>
          <w:bCs/>
        </w:rPr>
        <w:t>September 08, 2021</w:t>
      </w:r>
    </w:p>
    <w:p w:rsidR="002C2F64" w:rsidRDefault="002C2F64" w:rsidP="002C2F64">
      <w:pPr>
        <w:rPr>
          <w:b/>
          <w:bCs/>
        </w:rPr>
      </w:pPr>
      <w:r>
        <w:rPr>
          <w:b/>
          <w:bCs/>
        </w:rPr>
        <w:t>Foreign Exchange Management (Export of Goods and Services) (Amendment) Regulations, 2021</w:t>
      </w:r>
    </w:p>
    <w:p w:rsidR="002C2F64" w:rsidRDefault="002C2F64" w:rsidP="002C2F64">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42" w:tgtFrame="_blank" w:history="1">
        <w:r>
          <w:rPr>
            <w:rStyle w:val="Hyperlink"/>
          </w:rPr>
          <w:t>Notification No. FEMA 23(R)/2015- RB dated January 12, 2016</w:t>
        </w:r>
      </w:hyperlink>
      <w:r>
        <w:t>] (hereinafter referred to as 'the Principal Regulations'), namely:</w:t>
      </w:r>
    </w:p>
    <w:p w:rsidR="002C2F64" w:rsidRDefault="002C2F64" w:rsidP="002C2F64">
      <w:pPr>
        <w:rPr>
          <w:b/>
          <w:bCs/>
        </w:rPr>
      </w:pPr>
      <w:r>
        <w:rPr>
          <w:b/>
          <w:bCs/>
        </w:rPr>
        <w:t>1. Short title and commencement: -</w:t>
      </w:r>
    </w:p>
    <w:p w:rsidR="002C2F64" w:rsidRDefault="002C2F64" w:rsidP="002C2F64">
      <w:pPr>
        <w:numPr>
          <w:ilvl w:val="0"/>
          <w:numId w:val="2"/>
        </w:numPr>
      </w:pPr>
      <w:r>
        <w:t>These Regulations may be called the Foreign Exchange Management (Export of Goods and Services) (Amendment) Regulations, 2021.</w:t>
      </w:r>
    </w:p>
    <w:p w:rsidR="002C2F64" w:rsidRDefault="002C2F64" w:rsidP="002C2F64">
      <w:pPr>
        <w:numPr>
          <w:ilvl w:val="0"/>
          <w:numId w:val="2"/>
        </w:numPr>
      </w:pPr>
      <w:r>
        <w:t>They shall come into force from the date of their publication in the </w:t>
      </w:r>
      <w:hyperlink r:id="rId43" w:tgtFrame="_blank" w:history="1">
        <w:r>
          <w:rPr>
            <w:rStyle w:val="Hyperlink"/>
          </w:rPr>
          <w:t>Official Gazette</w:t>
        </w:r>
      </w:hyperlink>
      <w:r>
        <w:t>.</w:t>
      </w:r>
    </w:p>
    <w:p w:rsidR="002C2F64" w:rsidRDefault="002C2F64" w:rsidP="002C2F64">
      <w:r>
        <w:t>2. In the Principal Regulations, in Regulation 15, in sub-regulation 1, for clause (ii), the following shall be substituted, namely: -</w:t>
      </w:r>
    </w:p>
    <w:p w:rsidR="002C2F64" w:rsidRDefault="002C2F64" w:rsidP="002C2F64">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2C2F64" w:rsidRDefault="002C2F64" w:rsidP="002C2F64">
      <w:r>
        <w:t>(R. S. Amar)</w:t>
      </w:r>
      <w:r>
        <w:br/>
        <w:t>Chief General Manager</w:t>
      </w:r>
    </w:p>
    <w:p w:rsidR="002C2F64" w:rsidRDefault="002C2F64" w:rsidP="002C2F64">
      <w:r>
        <w:t xml:space="preserve">Reference link: </w:t>
      </w:r>
      <w:hyperlink r:id="rId44" w:history="1">
        <w:r>
          <w:rPr>
            <w:rStyle w:val="Hyperlink"/>
          </w:rPr>
          <w:t>https://www.rbi.org.in/Scripts/NotificationUser.aspx?Id=12167&amp;Mode=0</w:t>
        </w:r>
      </w:hyperlink>
    </w:p>
    <w:p w:rsidR="002C2F64" w:rsidRDefault="002C2F64" w:rsidP="002C2F64"/>
    <w:p w:rsidR="002C2F64" w:rsidRDefault="002C2F64" w:rsidP="002C2F64"/>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2C2F64" w:rsidRDefault="002C2F64" w:rsidP="002C2F64">
      <w:r>
        <w:t>RBI/DOR/2021-22/81</w:t>
      </w:r>
      <w:r>
        <w:br/>
        <w:t>DOR.MRG.42/21.04.141/2021-22</w:t>
      </w:r>
    </w:p>
    <w:p w:rsidR="002C2F64" w:rsidRDefault="002C2F64" w:rsidP="002C2F64">
      <w:r>
        <w:t>August 25, 2021</w:t>
      </w:r>
    </w:p>
    <w:p w:rsidR="002C2F64" w:rsidRDefault="002C2F64" w:rsidP="002C2F64">
      <w:r>
        <w:t>All Commercial Banks (excluding RRBs)</w:t>
      </w:r>
    </w:p>
    <w:p w:rsidR="002C2F64" w:rsidRDefault="002C2F64" w:rsidP="002C2F64">
      <w:r>
        <w:t>Dear Sir / Madam,</w:t>
      </w:r>
    </w:p>
    <w:p w:rsidR="002C2F64" w:rsidRDefault="002C2F64" w:rsidP="002C2F64">
      <w:pPr>
        <w:rPr>
          <w:b/>
          <w:bCs/>
        </w:rPr>
      </w:pPr>
      <w:r>
        <w:rPr>
          <w:b/>
          <w:bCs/>
        </w:rPr>
        <w:t>Master Direction - Classification, Valuation and Operation of Investment Portfolio of Commercial Banks (Directions), 2021</w:t>
      </w:r>
    </w:p>
    <w:p w:rsidR="002C2F64" w:rsidRDefault="002C2F64" w:rsidP="002C2F64">
      <w:r>
        <w:t>The Reserve Bank of India has, from time to time, issued several guidelines / instructions / directives to the banks on Prudential Norms for Classification, Valuation and Operation of Investment Portfolio by Banks.</w:t>
      </w:r>
    </w:p>
    <w:p w:rsidR="002C2F64" w:rsidRDefault="002C2F64" w:rsidP="002C2F64">
      <w:r>
        <w:t>2. To enable banks to have current instructions at one place, a </w:t>
      </w:r>
      <w:hyperlink r:id="rId45" w:anchor="MD" w:history="1">
        <w:r>
          <w:rPr>
            <w:rStyle w:val="Hyperlink"/>
          </w:rPr>
          <w:t>Master Direction</w:t>
        </w:r>
      </w:hyperlink>
      <w:r>
        <w:t> incorporating all the existing guidelines / instructions / directives on the subject has been prepared for reference of the banks.</w:t>
      </w:r>
    </w:p>
    <w:p w:rsidR="002C2F64" w:rsidRDefault="002C2F64" w:rsidP="002C2F64">
      <w:r>
        <w:t>3. This Direction has been issued by RBI in exercise of its powers conferred under Section 35A of the Banking Regulation Act 1949 and of all the powers enabling it in this behalf.</w:t>
      </w:r>
    </w:p>
    <w:p w:rsidR="002C2F64" w:rsidRDefault="002C2F64" w:rsidP="002C2F64">
      <w:r>
        <w:t>Yours faithfully,</w:t>
      </w:r>
    </w:p>
    <w:p w:rsidR="002C2F64" w:rsidRDefault="002C2F64" w:rsidP="002C2F64">
      <w:r>
        <w:t>(</w:t>
      </w:r>
      <w:proofErr w:type="spellStart"/>
      <w:r>
        <w:t>Usha</w:t>
      </w:r>
      <w:proofErr w:type="spellEnd"/>
      <w:r>
        <w:t xml:space="preserve"> </w:t>
      </w:r>
      <w:proofErr w:type="spellStart"/>
      <w:r>
        <w:t>Janakiraman</w:t>
      </w:r>
      <w:proofErr w:type="spellEnd"/>
      <w:r>
        <w:t>)</w:t>
      </w:r>
      <w:r>
        <w:br/>
        <w:t>Chief General Manager</w:t>
      </w:r>
    </w:p>
    <w:p w:rsidR="002C2F64" w:rsidRDefault="002C2F64" w:rsidP="002C2F64">
      <w:r>
        <w:t xml:space="preserve">Reference link: </w:t>
      </w:r>
      <w:hyperlink r:id="rId46" w:history="1">
        <w:r>
          <w:rPr>
            <w:rStyle w:val="Hyperlink"/>
          </w:rPr>
          <w:t>https://www.rbi.org.in/Scripts/NotificationUser.aspx?Id=12153&amp;Mode=0</w:t>
        </w:r>
      </w:hyperlink>
    </w:p>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2C2F64" w:rsidRDefault="002C2F64" w:rsidP="002C2F64">
      <w:r>
        <w:t>RBI/2021-22/81</w:t>
      </w:r>
      <w:r>
        <w:br/>
        <w:t>DOR.MRG.39/21.04.157/2021-22</w:t>
      </w:r>
    </w:p>
    <w:p w:rsidR="002C2F64" w:rsidRDefault="002C2F64" w:rsidP="002C2F64">
      <w:r>
        <w:t>August 06, 2021</w:t>
      </w:r>
    </w:p>
    <w:p w:rsidR="002C2F64" w:rsidRDefault="002C2F64" w:rsidP="002C2F64">
      <w:r>
        <w:t>All Banks</w:t>
      </w:r>
    </w:p>
    <w:p w:rsidR="002C2F64" w:rsidRDefault="002C2F64" w:rsidP="002C2F64">
      <w:r>
        <w:t>Madam / Dear Sir,</w:t>
      </w:r>
    </w:p>
    <w:p w:rsidR="002C2F64" w:rsidRDefault="002C2F64" w:rsidP="002C2F64">
      <w:pPr>
        <w:rPr>
          <w:b/>
          <w:bCs/>
        </w:rPr>
      </w:pPr>
      <w:r>
        <w:rPr>
          <w:b/>
          <w:bCs/>
        </w:rPr>
        <w:t>Prudential Norms for Off-Balance Sheet Exposures of Banks – Restructuring of derivative contracts</w:t>
      </w:r>
    </w:p>
    <w:p w:rsidR="002C2F64" w:rsidRDefault="002C2F64" w:rsidP="002C2F64">
      <w:r>
        <w:t>Please refer to paragraph 2.2 of our </w:t>
      </w:r>
      <w:hyperlink r:id="rId47"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2C2F64" w:rsidRDefault="002C2F64" w:rsidP="002C2F64">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2C2F64" w:rsidRDefault="002C2F64" w:rsidP="002C2F64">
      <w:r>
        <w:t>Yours faithfully,</w:t>
      </w:r>
    </w:p>
    <w:p w:rsidR="002C2F64" w:rsidRDefault="002C2F64" w:rsidP="002C2F64">
      <w:r>
        <w:t>(</w:t>
      </w:r>
      <w:proofErr w:type="spellStart"/>
      <w:r>
        <w:t>Usha</w:t>
      </w:r>
      <w:proofErr w:type="spellEnd"/>
      <w:r>
        <w:t xml:space="preserve"> </w:t>
      </w:r>
      <w:proofErr w:type="spellStart"/>
      <w:r>
        <w:t>Janakiraman</w:t>
      </w:r>
      <w:proofErr w:type="spellEnd"/>
      <w:r>
        <w:t>)</w:t>
      </w:r>
      <w:r>
        <w:br/>
        <w:t>Chief General Manager</w:t>
      </w:r>
    </w:p>
    <w:p w:rsidR="002C2F64" w:rsidRDefault="002C2F64" w:rsidP="002C2F64">
      <w:r>
        <w:t xml:space="preserve">Reference link: </w:t>
      </w:r>
      <w:hyperlink r:id="rId48" w:history="1">
        <w:r>
          <w:rPr>
            <w:rStyle w:val="Hyperlink"/>
          </w:rPr>
          <w:t>https://www.rbi.org.in/Scripts/NotificationUser.aspx?Id=12141&amp;Mode=0</w:t>
        </w:r>
      </w:hyperlink>
    </w:p>
    <w:p w:rsidR="002C2F64" w:rsidRDefault="002C2F64" w:rsidP="002C2F64"/>
    <w:p w:rsidR="002C2F64" w:rsidRDefault="002C2F64" w:rsidP="002C2F64">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2C2F64" w:rsidRDefault="002C2F64" w:rsidP="002C2F64">
      <w:r>
        <w:t>RBI/2021-2022/79</w:t>
      </w:r>
      <w:r>
        <w:br/>
        <w:t>DOR.DIR.REC.37/04.02.002/2021-22</w:t>
      </w:r>
    </w:p>
    <w:p w:rsidR="002C2F64" w:rsidRDefault="002C2F64" w:rsidP="002C2F64">
      <w:r>
        <w:t>August 6, 2021</w:t>
      </w:r>
    </w:p>
    <w:p w:rsidR="002C2F64" w:rsidRDefault="002C2F64" w:rsidP="002C2F64">
      <w:r>
        <w:t>All Scheduled Commercial Banks</w:t>
      </w:r>
      <w:r>
        <w:br/>
        <w:t>(excluding Regional Rural Banks)</w:t>
      </w:r>
      <w:r>
        <w:br/>
        <w:t>All Primary (Urban) Co-operative Banks</w:t>
      </w:r>
      <w:hyperlink r:id="rId49" w:anchor="F1" w:history="1">
        <w:r>
          <w:rPr>
            <w:rStyle w:val="Hyperlink"/>
            <w:vertAlign w:val="superscript"/>
          </w:rPr>
          <w:t>1</w:t>
        </w:r>
      </w:hyperlink>
      <w:r>
        <w:br/>
        <w:t>All Small Finance Banks</w:t>
      </w:r>
    </w:p>
    <w:p w:rsidR="002C2F64" w:rsidRDefault="002C2F64" w:rsidP="002C2F64">
      <w:r>
        <w:t>Dear Sir / Madam,</w:t>
      </w:r>
    </w:p>
    <w:p w:rsidR="002C2F64" w:rsidRDefault="002C2F64" w:rsidP="002C2F64">
      <w:pPr>
        <w:rPr>
          <w:b/>
          <w:bCs/>
        </w:rPr>
      </w:pPr>
      <w:r>
        <w:rPr>
          <w:b/>
          <w:bCs/>
        </w:rPr>
        <w:t>Export Credit in Foreign Currency – Benchmark Rate</w:t>
      </w:r>
    </w:p>
    <w:p w:rsidR="002C2F64" w:rsidRDefault="002C2F64" w:rsidP="002C2F64">
      <w:r>
        <w:t>Please refer to </w:t>
      </w:r>
      <w:hyperlink r:id="rId50" w:tgtFrame="_blank" w:history="1">
        <w:r>
          <w:rPr>
            <w:rStyle w:val="Hyperlink"/>
          </w:rPr>
          <w:t>Master Circular DBR.No.DIR.BC.14/04.02.002/2015-16 dated July 1, 2015</w:t>
        </w:r>
      </w:hyperlink>
      <w:r>
        <w:t> on Rupee / Foreign Currency Export Credit and Customer Service to Exporters.</w:t>
      </w:r>
    </w:p>
    <w:p w:rsidR="002C2F64" w:rsidRDefault="002C2F64" w:rsidP="002C2F64">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2C2F64" w:rsidRDefault="002C2F64" w:rsidP="002C2F64">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2C2F64" w:rsidRDefault="002C2F64" w:rsidP="002C2F64">
      <w:r>
        <w:t>Yours faithfully,</w:t>
      </w:r>
    </w:p>
    <w:p w:rsidR="002C2F64" w:rsidRDefault="002C2F64" w:rsidP="002C2F64">
      <w:r>
        <w:t>(</w:t>
      </w:r>
      <w:proofErr w:type="spellStart"/>
      <w:r>
        <w:t>Manoranjan</w:t>
      </w:r>
      <w:proofErr w:type="spellEnd"/>
      <w:r>
        <w:t xml:space="preserve"> Mishra)</w:t>
      </w:r>
      <w:r>
        <w:br/>
        <w:t>Chief General Manager</w:t>
      </w:r>
    </w:p>
    <w:p w:rsidR="002C2F64" w:rsidRDefault="002C2F64" w:rsidP="002C2F64">
      <w:r>
        <w:t xml:space="preserve">Reference Link: </w:t>
      </w:r>
      <w:hyperlink r:id="rId51" w:history="1">
        <w:r>
          <w:rPr>
            <w:rStyle w:val="Hyperlink"/>
          </w:rPr>
          <w:t>https://www.rbi.org.in/Scripts/NotificationUser.aspx?Id=12139&amp;Mode=0</w:t>
        </w:r>
      </w:hyperlink>
    </w:p>
    <w:p w:rsidR="002C2F64" w:rsidRDefault="002C2F64" w:rsidP="002C2F64"/>
    <w:p w:rsidR="002C2F64" w:rsidRDefault="002C2F64" w:rsidP="002C2F64">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[Cash Reserve Ratio (CRR) and Statutory Liquidity Ratio (SLR)] Directions – 2021</w:t>
      </w:r>
    </w:p>
    <w:p w:rsidR="002C2F64" w:rsidRDefault="002C2F64" w:rsidP="002C2F64">
      <w:r>
        <w:t>RBI/DOR/2021-22/80</w:t>
      </w:r>
      <w:r>
        <w:br/>
        <w:t>DOR.No.RET.REC.32/12.01.001/2021-22</w:t>
      </w:r>
    </w:p>
    <w:p w:rsidR="002C2F64" w:rsidRDefault="002C2F64" w:rsidP="002C2F64">
      <w:r>
        <w:t>July 20, 2021</w:t>
      </w:r>
    </w:p>
    <w:p w:rsidR="002C2F64" w:rsidRDefault="002C2F64" w:rsidP="002C2F64">
      <w:pPr>
        <w:rPr>
          <w:b/>
          <w:bCs/>
        </w:rPr>
      </w:pPr>
      <w:r>
        <w:rPr>
          <w:b/>
          <w:bCs/>
        </w:rPr>
        <w:t>Master Direction - Reserve Bank of India</w:t>
      </w:r>
      <w:r>
        <w:rPr>
          <w:b/>
          <w:bCs/>
        </w:rPr>
        <w:br/>
        <w:t>[Cash Reserve Ratio (CRR) and Statutory Liquidity Ratio (SLR)] Directions - 2021</w:t>
      </w:r>
    </w:p>
    <w:p w:rsidR="002C2F64" w:rsidRDefault="002C2F64" w:rsidP="002C2F64">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2C2F64" w:rsidRDefault="002C2F64" w:rsidP="002C2F64">
      <w:r>
        <w:t>The direction details on the following:</w:t>
      </w:r>
    </w:p>
    <w:p w:rsidR="002C2F64" w:rsidRDefault="002C2F64" w:rsidP="002C2F64">
      <w:pPr>
        <w:rPr>
          <w:b/>
          <w:bCs/>
        </w:rPr>
      </w:pPr>
      <w:r>
        <w:rPr>
          <w:b/>
          <w:bCs/>
        </w:rPr>
        <w:t>CHAPTER – I - PRELIMINARY</w:t>
      </w:r>
    </w:p>
    <w:p w:rsidR="002C2F64" w:rsidRDefault="002C2F64" w:rsidP="002C2F64">
      <w:pPr>
        <w:rPr>
          <w:b/>
          <w:bCs/>
        </w:rPr>
      </w:pPr>
      <w:r>
        <w:rPr>
          <w:b/>
          <w:bCs/>
        </w:rPr>
        <w:t>CHAPTER – II - APPLICABILITY</w:t>
      </w:r>
    </w:p>
    <w:p w:rsidR="002C2F64" w:rsidRDefault="002C2F64" w:rsidP="002C2F64">
      <w:pPr>
        <w:rPr>
          <w:b/>
          <w:bCs/>
        </w:rPr>
      </w:pPr>
      <w:r>
        <w:rPr>
          <w:b/>
          <w:bCs/>
        </w:rPr>
        <w:t>CHAPTER – III - DEFINITIONS</w:t>
      </w:r>
    </w:p>
    <w:p w:rsidR="002C2F64" w:rsidRDefault="002C2F64" w:rsidP="002C2F64">
      <w:pPr>
        <w:rPr>
          <w:b/>
          <w:bCs/>
        </w:rPr>
      </w:pPr>
      <w:r>
        <w:rPr>
          <w:b/>
          <w:bCs/>
        </w:rPr>
        <w:t>CHAPTER – IV - CASH RESERVE RATIO (CRR)</w:t>
      </w:r>
    </w:p>
    <w:p w:rsidR="002C2F64" w:rsidRDefault="002C2F64" w:rsidP="002C2F64">
      <w:pPr>
        <w:rPr>
          <w:b/>
          <w:bCs/>
        </w:rPr>
      </w:pPr>
      <w:r>
        <w:rPr>
          <w:b/>
          <w:bCs/>
        </w:rPr>
        <w:t>CHAPTER – V - STATUTORY LIQUIDITY RATIO (SLR)</w:t>
      </w:r>
    </w:p>
    <w:p w:rsidR="002C2F64" w:rsidRDefault="002C2F64" w:rsidP="002C2F64">
      <w:pPr>
        <w:rPr>
          <w:b/>
          <w:bCs/>
        </w:rPr>
      </w:pPr>
      <w:r>
        <w:rPr>
          <w:b/>
          <w:bCs/>
        </w:rPr>
        <w:t>CHAPTER – VI - PROCEDURE FOR COMPUTATION OF SLR</w:t>
      </w:r>
    </w:p>
    <w:p w:rsidR="002C2F64" w:rsidRDefault="002C2F64" w:rsidP="002C2F64">
      <w:pPr>
        <w:rPr>
          <w:b/>
          <w:bCs/>
        </w:rPr>
      </w:pPr>
      <w:r>
        <w:rPr>
          <w:b/>
          <w:bCs/>
        </w:rPr>
        <w:t>CHAPTER – VII REPORTING - FORTNIGHTLY CRR RETURN IN FORM A / FORM B/ FORM I</w:t>
      </w:r>
    </w:p>
    <w:p w:rsidR="002C2F64" w:rsidRDefault="002C2F64" w:rsidP="002C2F64">
      <w:pPr>
        <w:rPr>
          <w:b/>
          <w:bCs/>
        </w:rPr>
      </w:pPr>
      <w:r>
        <w:rPr>
          <w:b/>
          <w:bCs/>
        </w:rPr>
        <w:t>CHAPTER – VIII - PENALTIES</w:t>
      </w:r>
    </w:p>
    <w:p w:rsidR="002C2F64" w:rsidRDefault="002C2F64" w:rsidP="002C2F64">
      <w:pPr>
        <w:rPr>
          <w:b/>
          <w:bCs/>
        </w:rPr>
      </w:pPr>
      <w:r>
        <w:rPr>
          <w:b/>
          <w:bCs/>
        </w:rPr>
        <w:t>CHAPTER – IX - REPEAL AND OTHER PROVISIONS</w:t>
      </w:r>
    </w:p>
    <w:p w:rsidR="002C2F64" w:rsidRDefault="002C2F64" w:rsidP="002C2F64"/>
    <w:p w:rsidR="002C2F64" w:rsidRDefault="002C2F64" w:rsidP="002C2F64">
      <w:r>
        <w:t>Details under each of the above chapters can be read from the below link</w:t>
      </w:r>
    </w:p>
    <w:p w:rsidR="002C2F64" w:rsidRDefault="002C2F64" w:rsidP="002C2F64">
      <w:r>
        <w:t xml:space="preserve">Reference link: </w:t>
      </w:r>
      <w:hyperlink r:id="rId52" w:history="1">
        <w:r>
          <w:rPr>
            <w:rStyle w:val="Hyperlink"/>
          </w:rPr>
          <w:t>https://www.rbi.org.in/Scripts/NotificationUser.aspx?Id=12131&amp;Mode=0</w:t>
        </w:r>
      </w:hyperlink>
    </w:p>
    <w:p w:rsidR="002C2F64" w:rsidRDefault="002C2F64" w:rsidP="002C2F64"/>
    <w:p w:rsidR="002C2F64" w:rsidRDefault="002C2F64"/>
    <w:p w:rsidR="002C2F64" w:rsidRDefault="002C2F64">
      <w:pPr>
        <w:spacing w:line="259" w:lineRule="auto"/>
      </w:pPr>
      <w:r>
        <w:br w:type="page"/>
      </w:r>
    </w:p>
    <w:p w:rsidR="002C2F64" w:rsidRDefault="002C2F64" w:rsidP="002C2F64">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2C2F64" w:rsidRDefault="002C2F64" w:rsidP="002C2F64">
      <w:r>
        <w:t>RBI/2021-22/69</w:t>
      </w:r>
      <w:r>
        <w:br/>
        <w:t>CO.FMRD.DIRD.S39/14.02.001/2021-22</w:t>
      </w:r>
    </w:p>
    <w:p w:rsidR="002C2F64" w:rsidRDefault="002C2F64" w:rsidP="002C2F64">
      <w:r>
        <w:t>July 08, 2021</w:t>
      </w:r>
    </w:p>
    <w:p w:rsidR="002C2F64" w:rsidRDefault="002C2F64" w:rsidP="002C2F64">
      <w:r>
        <w:t>To</w:t>
      </w:r>
    </w:p>
    <w:p w:rsidR="002C2F64" w:rsidRDefault="002C2F64" w:rsidP="002C2F64">
      <w:r>
        <w:t>The Chief Executive Officer/ Chairman/Managing Director,</w:t>
      </w:r>
      <w:r>
        <w:br/>
        <w:t>All Commercial and Co-operative Banks / All India Financial Institutions / Non-Banking Financial Companies including Housing Finance Companies and Standalone Primary Dealers</w:t>
      </w:r>
    </w:p>
    <w:p w:rsidR="002C2F64" w:rsidRDefault="002C2F64" w:rsidP="002C2F64">
      <w:r>
        <w:t> </w:t>
      </w:r>
    </w:p>
    <w:p w:rsidR="002C2F64" w:rsidRDefault="002C2F64" w:rsidP="002C2F64">
      <w:r>
        <w:t>Madam / Dear Sir</w:t>
      </w:r>
    </w:p>
    <w:p w:rsidR="002C2F64" w:rsidRDefault="002C2F64" w:rsidP="002C2F64">
      <w:pPr>
        <w:rPr>
          <w:b/>
          <w:bCs/>
        </w:rPr>
      </w:pPr>
      <w:r>
        <w:rPr>
          <w:b/>
          <w:bCs/>
        </w:rPr>
        <w:t>Roadmap for LIBOR Transition</w:t>
      </w:r>
    </w:p>
    <w:p w:rsidR="002C2F64" w:rsidRDefault="002C2F64" w:rsidP="002C2F64">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2C2F64" w:rsidRDefault="002C2F64" w:rsidP="002C2F64">
      <w:r>
        <w:t>(a) Immediately after December 31, 2021, in the case of all Pound sterling, Euro, Swiss franc and Japanese yen settings, and the 1-week and 2-month US dollar settings; and</w:t>
      </w:r>
    </w:p>
    <w:p w:rsidR="002C2F64" w:rsidRDefault="002C2F64" w:rsidP="002C2F64">
      <w:r>
        <w:t>(b) Immediately after June 30, 2023, in the case of the remaining US dollar settings.</w:t>
      </w:r>
    </w:p>
    <w:p w:rsidR="002C2F64" w:rsidRDefault="002C2F64" w:rsidP="002C2F64"/>
    <w:p w:rsidR="002C2F64" w:rsidRDefault="002C2F64" w:rsidP="002C2F64">
      <w:r>
        <w:t>More details on the roadmap for LIBOR transition can be referred to from the below link</w:t>
      </w:r>
    </w:p>
    <w:p w:rsidR="002C2F64" w:rsidRDefault="002C2F64" w:rsidP="002C2F64">
      <w:r>
        <w:t xml:space="preserve">Reference link: </w:t>
      </w:r>
      <w:hyperlink r:id="rId53" w:history="1">
        <w:r>
          <w:rPr>
            <w:rStyle w:val="Hyperlink"/>
          </w:rPr>
          <w:t>https://www.rbi.org.in/Scripts/NotificationUser.aspx?Id=12128&amp;Mode=0</w:t>
        </w:r>
      </w:hyperlink>
    </w:p>
    <w:p w:rsidR="002C2F64" w:rsidRDefault="002C2F64"/>
    <w:sectPr w:rsidR="002C2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64"/>
    <w:rsid w:val="002C2F64"/>
    <w:rsid w:val="00CF1D0F"/>
    <w:rsid w:val="00DD0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6DB7"/>
  <w15:chartTrackingRefBased/>
  <w15:docId w15:val="{4547A95B-B158-4C6E-8AEB-0090C78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F6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F64"/>
    <w:rPr>
      <w:color w:val="0563C1" w:themeColor="hyperlink"/>
      <w:u w:val="single"/>
    </w:rPr>
  </w:style>
  <w:style w:type="table" w:styleId="TableGrid">
    <w:name w:val="Table Grid"/>
    <w:basedOn w:val="TableNormal"/>
    <w:uiPriority w:val="39"/>
    <w:rsid w:val="00DD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3332">
      <w:bodyDiv w:val="1"/>
      <w:marLeft w:val="0"/>
      <w:marRight w:val="0"/>
      <w:marTop w:val="0"/>
      <w:marBottom w:val="0"/>
      <w:divBdr>
        <w:top w:val="none" w:sz="0" w:space="0" w:color="auto"/>
        <w:left w:val="none" w:sz="0" w:space="0" w:color="auto"/>
        <w:bottom w:val="none" w:sz="0" w:space="0" w:color="auto"/>
        <w:right w:val="none" w:sz="0" w:space="0" w:color="auto"/>
      </w:divBdr>
    </w:div>
    <w:div w:id="605430587">
      <w:bodyDiv w:val="1"/>
      <w:marLeft w:val="0"/>
      <w:marRight w:val="0"/>
      <w:marTop w:val="0"/>
      <w:marBottom w:val="0"/>
      <w:divBdr>
        <w:top w:val="none" w:sz="0" w:space="0" w:color="auto"/>
        <w:left w:val="none" w:sz="0" w:space="0" w:color="auto"/>
        <w:bottom w:val="none" w:sz="0" w:space="0" w:color="auto"/>
        <w:right w:val="none" w:sz="0" w:space="0" w:color="auto"/>
      </w:divBdr>
    </w:div>
    <w:div w:id="616595424">
      <w:bodyDiv w:val="1"/>
      <w:marLeft w:val="0"/>
      <w:marRight w:val="0"/>
      <w:marTop w:val="0"/>
      <w:marBottom w:val="0"/>
      <w:divBdr>
        <w:top w:val="none" w:sz="0" w:space="0" w:color="auto"/>
        <w:left w:val="none" w:sz="0" w:space="0" w:color="auto"/>
        <w:bottom w:val="none" w:sz="0" w:space="0" w:color="auto"/>
        <w:right w:val="none" w:sz="0" w:space="0" w:color="auto"/>
      </w:divBdr>
    </w:div>
    <w:div w:id="856887905">
      <w:bodyDiv w:val="1"/>
      <w:marLeft w:val="0"/>
      <w:marRight w:val="0"/>
      <w:marTop w:val="0"/>
      <w:marBottom w:val="0"/>
      <w:divBdr>
        <w:top w:val="none" w:sz="0" w:space="0" w:color="auto"/>
        <w:left w:val="none" w:sz="0" w:space="0" w:color="auto"/>
        <w:bottom w:val="none" w:sz="0" w:space="0" w:color="auto"/>
        <w:right w:val="none" w:sz="0" w:space="0" w:color="auto"/>
      </w:divBdr>
    </w:div>
    <w:div w:id="984161732">
      <w:bodyDiv w:val="1"/>
      <w:marLeft w:val="0"/>
      <w:marRight w:val="0"/>
      <w:marTop w:val="0"/>
      <w:marBottom w:val="0"/>
      <w:divBdr>
        <w:top w:val="none" w:sz="0" w:space="0" w:color="auto"/>
        <w:left w:val="none" w:sz="0" w:space="0" w:color="auto"/>
        <w:bottom w:val="none" w:sz="0" w:space="0" w:color="auto"/>
        <w:right w:val="none" w:sz="0" w:space="0" w:color="auto"/>
      </w:divBdr>
    </w:div>
    <w:div w:id="1225794744">
      <w:bodyDiv w:val="1"/>
      <w:marLeft w:val="0"/>
      <w:marRight w:val="0"/>
      <w:marTop w:val="0"/>
      <w:marBottom w:val="0"/>
      <w:divBdr>
        <w:top w:val="none" w:sz="0" w:space="0" w:color="auto"/>
        <w:left w:val="none" w:sz="0" w:space="0" w:color="auto"/>
        <w:bottom w:val="none" w:sz="0" w:space="0" w:color="auto"/>
        <w:right w:val="none" w:sz="0" w:space="0" w:color="auto"/>
      </w:divBdr>
    </w:div>
    <w:div w:id="1366326862">
      <w:bodyDiv w:val="1"/>
      <w:marLeft w:val="0"/>
      <w:marRight w:val="0"/>
      <w:marTop w:val="0"/>
      <w:marBottom w:val="0"/>
      <w:divBdr>
        <w:top w:val="none" w:sz="0" w:space="0" w:color="auto"/>
        <w:left w:val="none" w:sz="0" w:space="0" w:color="auto"/>
        <w:bottom w:val="none" w:sz="0" w:space="0" w:color="auto"/>
        <w:right w:val="none" w:sz="0" w:space="0" w:color="auto"/>
      </w:divBdr>
    </w:div>
    <w:div w:id="1428651581">
      <w:bodyDiv w:val="1"/>
      <w:marLeft w:val="0"/>
      <w:marRight w:val="0"/>
      <w:marTop w:val="0"/>
      <w:marBottom w:val="0"/>
      <w:divBdr>
        <w:top w:val="none" w:sz="0" w:space="0" w:color="auto"/>
        <w:left w:val="none" w:sz="0" w:space="0" w:color="auto"/>
        <w:bottom w:val="none" w:sz="0" w:space="0" w:color="auto"/>
        <w:right w:val="none" w:sz="0" w:space="0" w:color="auto"/>
      </w:divBdr>
    </w:div>
    <w:div w:id="1611086382">
      <w:bodyDiv w:val="1"/>
      <w:marLeft w:val="0"/>
      <w:marRight w:val="0"/>
      <w:marTop w:val="0"/>
      <w:marBottom w:val="0"/>
      <w:divBdr>
        <w:top w:val="none" w:sz="0" w:space="0" w:color="auto"/>
        <w:left w:val="none" w:sz="0" w:space="0" w:color="auto"/>
        <w:bottom w:val="none" w:sz="0" w:space="0" w:color="auto"/>
        <w:right w:val="none" w:sz="0" w:space="0" w:color="auto"/>
      </w:divBdr>
    </w:div>
    <w:div w:id="1619604728">
      <w:bodyDiv w:val="1"/>
      <w:marLeft w:val="0"/>
      <w:marRight w:val="0"/>
      <w:marTop w:val="0"/>
      <w:marBottom w:val="0"/>
      <w:divBdr>
        <w:top w:val="none" w:sz="0" w:space="0" w:color="auto"/>
        <w:left w:val="none" w:sz="0" w:space="0" w:color="auto"/>
        <w:bottom w:val="none" w:sz="0" w:space="0" w:color="auto"/>
        <w:right w:val="none" w:sz="0" w:space="0" w:color="auto"/>
      </w:divBdr>
    </w:div>
    <w:div w:id="18230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204&amp;Mode=0" TargetMode="External"/><Relationship Id="rId18" Type="http://schemas.openxmlformats.org/officeDocument/2006/relationships/hyperlink" Target="https://rbidocs.rbi.org.in/rdocs/content/pdfs/APDIR120_AN.pdf" TargetMode="External"/><Relationship Id="rId26" Type="http://schemas.openxmlformats.org/officeDocument/2006/relationships/hyperlink" Target="https://www.rbi.org.in/Scripts/NotificationUser.aspx?Id=12174&amp;Mode=0" TargetMode="External"/><Relationship Id="rId39" Type="http://schemas.openxmlformats.org/officeDocument/2006/relationships/hyperlink" Target="https://www.rbi.org.in/Scripts/NotificationUser.aspx?Id=11573&amp;Mode=0" TargetMode="External"/><Relationship Id="rId21" Type="http://schemas.openxmlformats.org/officeDocument/2006/relationships/hyperlink" Target="https://www.rbi.org.in/Scripts/NotificationUser.aspx?Id=12182&amp;Mode=0" TargetMode="External"/><Relationship Id="rId34" Type="http://schemas.openxmlformats.org/officeDocument/2006/relationships/hyperlink" Target="https://www.rbi.org.in/Scripts/BS_PressReleaseDisplay.aspx?prid=50748" TargetMode="External"/><Relationship Id="rId42" Type="http://schemas.openxmlformats.org/officeDocument/2006/relationships/hyperlink" Target="https://www.rbi.org.in/Scripts/NotificationUser.aspx?Id=10256&amp;Mode=0" TargetMode="External"/><Relationship Id="rId47" Type="http://schemas.openxmlformats.org/officeDocument/2006/relationships/hyperlink" Target="https://www.rbi.org.in/Scripts/NotificationUser.aspx?Id=4532&amp;Mode=0" TargetMode="External"/><Relationship Id="rId50" Type="http://schemas.openxmlformats.org/officeDocument/2006/relationships/hyperlink" Target="https://rbi.org.in/Scripts/BS_ViewMasCirculardetails.aspx?id=9852" TargetMode="External"/><Relationship Id="rId55" Type="http://schemas.openxmlformats.org/officeDocument/2006/relationships/theme" Target="theme/theme1.xml"/><Relationship Id="rId7" Type="http://schemas.openxmlformats.org/officeDocument/2006/relationships/hyperlink" Target="https://www.rbi.org.in/Scripts/NotificationUser.aspx?Id=12142&amp;Mode=0" TargetMode="External"/><Relationship Id="rId12" Type="http://schemas.openxmlformats.org/officeDocument/2006/relationships/hyperlink" Target="https://www.rbi.org.in/Scripts/BS_ViewMasDirections.aspx?id=11510" TargetMode="External"/><Relationship Id="rId17" Type="http://schemas.openxmlformats.org/officeDocument/2006/relationships/hyperlink" Target="https://rbi.org.in/Scripts/NotificationUser.aspx?Id=12099&amp;Mode=0" TargetMode="External"/><Relationship Id="rId25" Type="http://schemas.openxmlformats.org/officeDocument/2006/relationships/hyperlink" Target="https://rbidocs.rbi.org.in/rdocs/content/pdfs/SGLCSGL05102021_2.pdf" TargetMode="External"/><Relationship Id="rId33" Type="http://schemas.openxmlformats.org/officeDocument/2006/relationships/hyperlink" Target="https://www.rbi.org.in/Scripts/NotificationUser.aspx?Id=12164&amp;Mode=0" TargetMode="External"/><Relationship Id="rId38" Type="http://schemas.openxmlformats.org/officeDocument/2006/relationships/hyperlink" Target="https://www.rbi.org.in/Scripts/NotificationUser.aspx?Id=12163&amp;Mode=0" TargetMode="External"/><Relationship Id="rId46" Type="http://schemas.openxmlformats.org/officeDocument/2006/relationships/hyperlink" Target="https://www.rbi.org.in/Scripts/NotificationUser.aspx?Id=12153&amp;Mode=0" TargetMode="External"/><Relationship Id="rId2" Type="http://schemas.openxmlformats.org/officeDocument/2006/relationships/styles" Target="styles.xml"/><Relationship Id="rId16" Type="http://schemas.openxmlformats.org/officeDocument/2006/relationships/hyperlink" Target="https://www.rbi.org.in/Scripts/NotificationUser.aspx?Id=11561&amp;Mode=0" TargetMode="External"/><Relationship Id="rId20" Type="http://schemas.openxmlformats.org/officeDocument/2006/relationships/hyperlink" Target="https://www.rbi.org.in/Scripts/NotificationUser.aspx?Id=12182&amp;Mode=0" TargetMode="External"/><Relationship Id="rId29" Type="http://schemas.openxmlformats.org/officeDocument/2006/relationships/hyperlink" Target="https://rbidocs.rbi.org.in/rdocs/content/pdfs/Gazette28092021.pdf" TargetMode="External"/><Relationship Id="rId41" Type="http://schemas.openxmlformats.org/officeDocument/2006/relationships/hyperlink" Target="https://www.rbi.org.in/Scripts/NotificationUser.aspx?Id=12160&amp;Mode=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BS_ViewMasDirections.aspx?id=12131" TargetMode="External"/><Relationship Id="rId11" Type="http://schemas.openxmlformats.org/officeDocument/2006/relationships/hyperlink" Target="https://www.rbi.org.in/Scripts/BS_ViewMasDirections.aspx?id=11510" TargetMode="External"/><Relationship Id="rId24" Type="http://schemas.openxmlformats.org/officeDocument/2006/relationships/hyperlink" Target="https://rbidocs.rbi.org.in/rdocs/content/pdfs/SGLCSGL05102021_1.pdf" TargetMode="External"/><Relationship Id="rId32" Type="http://schemas.openxmlformats.org/officeDocument/2006/relationships/hyperlink" Target="https://www.rbi.org.in/Scripts/NotificationUser.aspx?Id=12164&amp;Mode=0" TargetMode="External"/><Relationship Id="rId37" Type="http://schemas.openxmlformats.org/officeDocument/2006/relationships/hyperlink" Target="https://www.rbi.org.in/Scripts/NotificationUser.aspx?Id=12163&amp;Mode=0" TargetMode="External"/><Relationship Id="rId40" Type="http://schemas.openxmlformats.org/officeDocument/2006/relationships/hyperlink" Target="https://www.rbi.org.in/Scripts/BS_ViewMasCirculardetails.aspx?id=9859" TargetMode="External"/><Relationship Id="rId45" Type="http://schemas.openxmlformats.org/officeDocument/2006/relationships/hyperlink" Target="https://www.rbi.org.in/Scripts/NotificationUser.aspx?Id=12153&amp;Mode=0" TargetMode="External"/><Relationship Id="rId53" Type="http://schemas.openxmlformats.org/officeDocument/2006/relationships/hyperlink" Target="https://www.rbi.org.in/Scripts/NotificationUser.aspx?Id=12128&amp;Mode=0" TargetMode="External"/><Relationship Id="rId5" Type="http://schemas.openxmlformats.org/officeDocument/2006/relationships/hyperlink" Target="https://www.rbi.org.in/Scripts/NotificationUser.aspx?Id=12142&amp;Mode=0" TargetMode="External"/><Relationship Id="rId15" Type="http://schemas.openxmlformats.org/officeDocument/2006/relationships/hyperlink" Target="https://www.rbi.org.in/Scripts/NotificationUser.aspx?Id=11303&amp;Mode=0" TargetMode="External"/><Relationship Id="rId23" Type="http://schemas.openxmlformats.org/officeDocument/2006/relationships/hyperlink" Target="https://www.rbi.org.in/Scripts/NotificationUser.aspx?Id=12175&amp;Mode=0" TargetMode="External"/><Relationship Id="rId28" Type="http://schemas.openxmlformats.org/officeDocument/2006/relationships/hyperlink" Target="https://www.rbi.org.in/Scripts/NotificationUser.aspx?Id=12167&amp;Mode=0" TargetMode="External"/><Relationship Id="rId36" Type="http://schemas.openxmlformats.org/officeDocument/2006/relationships/hyperlink" Target="https://www.rbi.org.in/Scripts/BS_PressReleaseDisplay.aspx?prid=50760" TargetMode="External"/><Relationship Id="rId49" Type="http://schemas.openxmlformats.org/officeDocument/2006/relationships/hyperlink" Target="https://www.rbi.org.in/Scripts/NotificationUser.aspx?Id=12139&amp;Mode=0" TargetMode="External"/><Relationship Id="rId10" Type="http://schemas.openxmlformats.org/officeDocument/2006/relationships/hyperlink" Target="https://www.rbi.org.in/Scripts/BS_PressReleaseDisplay.aspx?prid=52688" TargetMode="External"/><Relationship Id="rId19" Type="http://schemas.openxmlformats.org/officeDocument/2006/relationships/hyperlink" Target="https://www.rbi.org.in/Scripts/NotificationUser.aspx?Id=12188&amp;Mode=0" TargetMode="External"/><Relationship Id="rId31" Type="http://schemas.openxmlformats.org/officeDocument/2006/relationships/hyperlink" Target="https://rbi.org.in/Scripts/BS_ViewMasCirculardetails.aspx?id=9849" TargetMode="External"/><Relationship Id="rId44" Type="http://schemas.openxmlformats.org/officeDocument/2006/relationships/hyperlink" Target="https://www.rbi.org.in/Scripts/NotificationUser.aspx?Id=12167&amp;Mode=0" TargetMode="External"/><Relationship Id="rId52" Type="http://schemas.openxmlformats.org/officeDocument/2006/relationships/hyperlink" Target="https://www.rbi.org.in/Scripts/NotificationUser.aspx?Id=12131&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07&amp;Mode=0" TargetMode="External"/><Relationship Id="rId14" Type="http://schemas.openxmlformats.org/officeDocument/2006/relationships/hyperlink" Target="https://rbi.org.in/Scripts/NotificationUser.aspx?Id=12099&amp;Mode=0" TargetMode="External"/><Relationship Id="rId22" Type="http://schemas.openxmlformats.org/officeDocument/2006/relationships/hyperlink" Target="https://www.rbi.org.in/scripts/NotificationUser.aspx?Mode=0&amp;Id=11417" TargetMode="External"/><Relationship Id="rId27" Type="http://schemas.openxmlformats.org/officeDocument/2006/relationships/hyperlink" Target="https://www.rbi.org.in/Scripts/NotificationUser.aspx?Id=10256&amp;Mode=0" TargetMode="External"/><Relationship Id="rId30" Type="http://schemas.openxmlformats.org/officeDocument/2006/relationships/hyperlink" Target="https://www.rbi.org.in/Scripts/NotificationUser.aspx?Id=12168&amp;Mode=0" TargetMode="External"/><Relationship Id="rId35" Type="http://schemas.openxmlformats.org/officeDocument/2006/relationships/hyperlink" Target="https://www.rbi.org.in/Scripts/BS_PressReleaseDisplay.aspx?prid=50747" TargetMode="External"/><Relationship Id="rId43" Type="http://schemas.openxmlformats.org/officeDocument/2006/relationships/hyperlink" Target="https://rbidocs.rbi.org.in/rdocs/content/pdfs/Gazette28092021.pdf" TargetMode="External"/><Relationship Id="rId48" Type="http://schemas.openxmlformats.org/officeDocument/2006/relationships/hyperlink" Target="https://www.rbi.org.in/Scripts/NotificationUser.aspx?Id=12141&amp;Mode=0" TargetMode="External"/><Relationship Id="rId8" Type="http://schemas.openxmlformats.org/officeDocument/2006/relationships/hyperlink" Target="https://www.rbi.org.in/Scripts/BS_PressReleaseDisplay.aspx?prid=52686" TargetMode="External"/><Relationship Id="rId51" Type="http://schemas.openxmlformats.org/officeDocument/2006/relationships/hyperlink" Target="https://www.rbi.org.in/Scripts/NotificationUser.aspx?Id=12139&amp;Mode=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4346</Words>
  <Characters>24777</Characters>
  <Application>Microsoft Office Word</Application>
  <DocSecurity>0</DocSecurity>
  <Lines>206</Lines>
  <Paragraphs>58</Paragraphs>
  <ScaleCrop>false</ScaleCrop>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2022-02-02T05:23:00Z</dcterms:created>
  <dcterms:modified xsi:type="dcterms:W3CDTF">2022-02-08T07:43:00Z</dcterms:modified>
</cp:coreProperties>
</file>